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30"/>
          <w:szCs w:val="30"/>
        </w:rPr>
        <w:t xml:space="preserve">Whitfield Carter LLP</w:t>
      </w:r>
    </w:p>
    <w:p>
      <w:pPr>
        <w:spacing w:after="0"/>
      </w:pPr>
      <w:r>
        <w:rPr>
          <w:color w:val="1F3864"/>
          <w:sz w:val="18"/>
          <w:szCs w:val="18"/>
        </w:rPr>
        <w:t xml:space="preserve">Solicitors</w:t>
      </w:r>
    </w:p>
    <w:p>
      <w:pPr>
        <w:pBdr>
          <w:bottom w:val="single" w:color="1F3864" w:sz="6" w:space="2"/>
        </w:pBdr>
        <w:spacing w:after="40"/>
      </w:pPr>
      <w:r>
        <w:rPr>
          <w:color w:val="595959"/>
          <w:sz w:val="16"/>
          <w:szCs w:val="16"/>
        </w:rPr>
        <w:t xml:space="preserve">22 Bishopsgate, London EC2N 4BQ  ·  DX 178 London  ·  +44 (0)20 7946 0000  ·  www.whitfieldcarter.com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PROJECT QUARTZ — COMPLETION CHECKLIST</w:t>
      </w:r>
    </w:p>
    <w:p>
      <w:pPr>
        <w:spacing w:after="120" w:line="276"/>
      </w:pPr>
      <w:r>
        <w:rPr>
          <w:i/>
          <w:iCs/>
        </w:rPr>
        <w:t xml:space="preserve">Series A subscription by Ravensworth Ventures LLP and Aldridge Seed LP in Larkmoor Bioscience Limited</w:t>
      </w:r>
    </w:p>
    <w:p>
      <w:pPr>
        <w:spacing w:after="120" w:line="276"/>
      </w:pPr>
      <w:r>
        <w:rPr>
          <w:sz w:val="18"/>
          <w:szCs w:val="18"/>
        </w:rPr>
        <w:t xml:space="preserve">Target completion: 8 May 2026.  Status key: ✓ = agreed/final · D = in draft · O = outstanding.  Responsibility: WC = Whitfield Carter (Company) · HA = Hargrove &amp; Associates (Investors).</w:t>
      </w:r>
    </w:p>
    <w:p>
      <w:pPr>
        <w:pStyle w:val="Heading2"/>
      </w:pPr>
      <w:r>
        <w:t xml:space="preserve">A. Conditions to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1200"/>
        <w:gridCol w:w="14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Legal, financial, tax and technical due diligence completed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Disclosure Letter and Disclosure Bundle finalised and delivered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Investment Committee approval (Ravensworth)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Innovate UK change-of-control confirmation received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B. Transaction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1200"/>
        <w:gridCol w:w="14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A Subscription and Shareholders’ Agreement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Amended and Restated Articles of Association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Investors’ Rights Agreement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Letter (Ravensworth — board, MFN, pro-rata)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Disclosure Letter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service agreements (Wren, Rao)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Deeds of adherence (angel holders, where required)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</w:tbl>
    <w:p>
      <w:pPr>
        <w:pStyle w:val="Heading2"/>
      </w:pPr>
      <w:r>
        <w:t xml:space="preserve">C. Company resolutions and filings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1200"/>
        <w:gridCol w:w="14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resolution: approve transaction, allot Series A shares, adopt Articles (subject to SR)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 resolution: adopt Amended Articles; disapply pre-emption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Ordinary resolution: authority to allot the Series A Preferred Shares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SH01 (return of allotment) and CS01 / amended Articles filed at Companies House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 register of members and PSC register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</w:tbl>
    <w:p>
      <w:pPr>
        <w:pStyle w:val="Heading2"/>
      </w:pPr>
      <w:r>
        <w:t xml:space="preserve">D. Completion deliverables / funds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1200"/>
        <w:gridCol w:w="14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monies (£10,000,000) to WC client account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certificates for Series A Preferred Shares issued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Counterpart signature pages collated and dated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 Director (Aisha Chowdhury) appointment — AP01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D&amp;O and key-person insurance bound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D6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proceeds (£9,857,920) released to the Company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5"/>
        <w:szCs w:val="15"/>
      </w:rPr>
      <w:t xml:space="preserve">WC-00134 · Project Quartz · Completion Checklist  ·  Strictly confidential and legally privileged</w:t>
    </w:r>
    <w:r>
      <w:rPr>
        <w:color w:val="808080"/>
        <w:sz w:val="15"/>
        <w:szCs w:val="15"/>
      </w:rPr>
      <w:t xml:space="preserve">	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5"/>
        <w:szCs w:val="15"/>
      </w:rPr>
      <w:t xml:space="preserve">Project Quartz —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2026-06-26T01:24:22.318Z</dcterms:created>
  <dcterms:modified xsi:type="dcterms:W3CDTF">2026-06-26T01:24:22.318Z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