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30"/>
          <w:szCs w:val="30"/>
        </w:rPr>
        <w:t xml:space="preserve">Whitfield Carter LLP</w:t>
      </w:r>
    </w:p>
    <w:p>
      <w:pPr>
        <w:spacing w:after="0"/>
      </w:pPr>
      <w:r>
        <w:rPr>
          <w:color w:val="1F3864"/>
          <w:sz w:val="18"/>
          <w:szCs w:val="18"/>
        </w:rPr>
        <w:t xml:space="preserve">Solicitors</w:t>
      </w:r>
    </w:p>
    <w:p>
      <w:pPr>
        <w:pBdr>
          <w:bottom w:val="single" w:color="1F3864" w:sz="6" w:space="2"/>
        </w:pBdr>
        <w:spacing w:after="40"/>
      </w:pPr>
      <w:r>
        <w:rPr>
          <w:color w:val="595959"/>
          <w:sz w:val="16"/>
          <w:szCs w:val="16"/>
        </w:rPr>
        <w:t xml:space="preserve">22 Bishopsgate, London EC2N 4BQ  ·  DX 178 London  ·  +44 (0)20 7946 0000  ·  www.whitfieldcarter.com</w:t>
      </w:r>
    </w:p>
    <w:p>
      <w:pPr>
        <w:spacing w:after="60" w:line="276"/>
      </w:pPr>
      <w:r>
        <w:t xml:space="preserve"/>
      </w:r>
    </w:p>
    <w:p>
      <w:pPr>
        <w:spacing w:after="120" w:line="276"/>
      </w:pPr>
      <w:r>
        <w:t xml:space="preserve">To: Ravensworth Ventures LLP and Aldridge Seed LP (the “Investors”)</w:t>
      </w:r>
    </w:p>
    <w:p>
      <w:pPr>
        <w:spacing w:after="120" w:line="276"/>
      </w:pPr>
      <w:r>
        <w:t xml:space="preserve">From: Larkmoor Bioscience Limited and the Founders (the “Warrantors”)</w:t>
      </w:r>
    </w:p>
    <w:p>
      <w:pPr>
        <w:spacing w:after="120" w:line="276"/>
      </w:pPr>
      <w:r>
        <w:t xml:space="preserve">Dated:            2026</w:t>
      </w:r>
    </w:p>
    <w:p>
      <w:pPr>
        <w:spacing w:after="160" w:line="276"/>
      </w:pPr>
      <w:r>
        <w:t xml:space="preserve">Dear Sirs / Mesdames,</w:t>
      </w:r>
    </w:p>
    <w:p>
      <w:pPr>
        <w:spacing w:after="160"/>
      </w:pPr>
      <w:r>
        <w:rPr>
          <w:b/>
          <w:bCs/>
        </w:rPr>
        <w:t xml:space="preserve">DISCLOSURE LETTER — PROJECT QUARTZ (SERIES A SUBSCRIPTION)</w:t>
      </w:r>
    </w:p>
    <w:p>
      <w:pPr>
        <w:spacing w:after="120" w:line="276"/>
      </w:pPr>
      <w:r>
        <w:t xml:space="preserve">This is the Disclosure Letter referred to in the Series A Subscription and Shareholders’ Agreement of today’s date (the “Agreement”) between, among others, the Warrantors and the Investors. Words and expressions defined in the Agreement have the same meanings in this letter. This letter is given to qualify the Warranties set out in Schedule 3 of the Agreement.</w:t>
      </w:r>
    </w:p>
    <w:p>
      <w:pPr>
        <w:pStyle w:val="Heading1"/>
      </w:pPr>
      <w:r>
        <w:t xml:space="preserve">1. General disclosures</w:t>
      </w:r>
    </w:p>
    <w:p>
      <w:pPr>
        <w:spacing w:after="120" w:line="276"/>
      </w:pPr>
      <w:r>
        <w:t xml:space="preserve">The Warranties are qualified by, and the Investors are deemed to have knowledge of, all matters which are: (a) Disclosed in this letter (whether as a general or specific disclosure); (b) apparent from the documents in the Disclosure Bundle; (c) contained in the Agreement or the Articles; or (d) which would be revealed by a search of the public records of the Company at Companies House, the Intellectual Property Office and HM Land Registry, in each case as at two Business Days before the date of this letter.</w:t>
      </w:r>
    </w:p>
    <w:p>
      <w:pPr>
        <w:pStyle w:val="ListParagraph"/>
        <w:numPr>
          <w:ilvl w:val="0"/>
          <w:numId w:val="2"/>
        </w:numPr>
        <w:spacing w:after="80"/>
      </w:pPr>
      <w:r>
        <w:t xml:space="preserve">the constitutional documents, statutory registers and filed accounts of the Company available at Companies House;</w:t>
      </w:r>
    </w:p>
    <w:p>
      <w:pPr>
        <w:pStyle w:val="ListParagraph"/>
        <w:numPr>
          <w:ilvl w:val="0"/>
          <w:numId w:val="2"/>
        </w:numPr>
        <w:spacing w:after="80"/>
      </w:pPr>
      <w:r>
        <w:t xml:space="preserve">the matters provided for or referred to in the Transaction Documents and in the agreed budget and use-of-proceeds statement;</w:t>
      </w:r>
    </w:p>
    <w:p>
      <w:pPr>
        <w:pStyle w:val="ListParagraph"/>
        <w:numPr>
          <w:ilvl w:val="0"/>
          <w:numId w:val="2"/>
        </w:numPr>
        <w:spacing w:after="80"/>
      </w:pPr>
      <w:r>
        <w:t xml:space="preserve">the contents of the data room hosted at quartz.ravensworthventures.dataroom made available to the Investors and their advisers between 16 January and 30 April 2026 (index attached at Appendix 1);</w:t>
      </w:r>
    </w:p>
    <w:p>
      <w:pPr>
        <w:pStyle w:val="ListParagraph"/>
        <w:numPr>
          <w:ilvl w:val="0"/>
          <w:numId w:val="2"/>
        </w:numPr>
        <w:spacing w:after="80"/>
      </w:pPr>
      <w:r>
        <w:t xml:space="preserve">the responses to the legal, financial and technical due diligence enquiries, and the Q&amp;A log, exchanged between the parties’ advisers;</w:t>
      </w:r>
    </w:p>
    <w:p>
      <w:pPr>
        <w:pStyle w:val="ListParagraph"/>
        <w:numPr>
          <w:ilvl w:val="0"/>
          <w:numId w:val="2"/>
        </w:numPr>
        <w:spacing w:after="80"/>
      </w:pPr>
      <w:r>
        <w:t xml:space="preserve">matters which would be disclosed by searches at the Intellectual Property Office against the Company’s registered trade marks and patent applications.</w:t>
      </w:r>
    </w:p>
    <w:p>
      <w:pPr>
        <w:pStyle w:val="Heading1"/>
      </w:pPr>
      <w:r>
        <w:t xml:space="preserve">2. Specific disclosures</w:t>
      </w:r>
    </w:p>
    <w:p>
      <w:pPr>
        <w:spacing w:after="120" w:line="276"/>
      </w:pPr>
      <w:r>
        <w:t xml:space="preserve">The following specific disclosures are made against the Warranties indicated. The fact that a disclosure is made against a particular Warranty does not limit its effect as a disclosure against any other Warranty to which it is relevant.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Warranty</w:t>
            </w:r>
          </w:p>
        </w:tc>
        <w:tc>
          <w:tcPr>
            <w:tcW w:type="dxa" w:w="68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Disclosure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 (Capital)</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300,000 Ordinary Shares are held by the seven angel and seed investors listed in the cap table at Appendix 2. Options over 180,000 Ordinary Shares have been granted under the EMI scheme to 14 employees; a further 320,000 remain unissued in the Option Pool.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4–5 (Accounts)</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The audited accounts for FY2025 show an operating loss of £3.41m and a net cash position of £1.92m at 31 December 2025. The Company’s monthly cash burn at the date of this letter is approximately £310,000; current runway absent this round is to August 2026.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6 (Financial)</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The Company has an equipment finance facility with Larkmoor’s bank of £600,000 (drawn £415,000) secured over the pilot-line fermenters, and a £150,000 R&amp;D-credit bridge facility (repaid on receipt of the FY2024 R&amp;D tax credit). Full particulars are in folder 4 of the data room.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 (Intellectual property)</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Patent family LK-PAT-002 (“Continuous precision-fermentation process for recombinant proteins”) is at PCT national-phase entry in the UK, EU and US; the US examiner has issued a first office action (non-final) to which a response is due by 30 June 2026. Two trade marks (LARKMOOR and the device mark) are registered in the UK; an EU application is pending opposition period.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 (IP — assignment)</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One former contractor (engaged July–November 2024) has not yet executed the standard IP assignment; a chasing letter and a draft deed of assignment are at folder 6.3. The Warrantors do not consider the related IP to be material.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11 (Regulatory)</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The Company’s lead product is subject to the GB novel-foods authorisation regime; a pre-application meeting with the Food Standards Agency took place on 4 March 2026 and a full dossier is in preparation. No authorisation has yet been granted.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12 (Employees)</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The Head of Bioprocess Engineering tendered and then withdrew his resignation in February 2026; he remains employed. One employee is on a performance-improvement plan. No collective consultation is in contemplation.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13 (Litigation)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 supplier (a media and reagents vendor) has issued a statutory demand for £42,300 which the Company disputes on quality grounds; correspondence is at folder 7.2. No proceedings have been issued.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14 (Tax)</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The Company has claimed SME R&amp;D tax relief for FY2023 and FY2024; the FY2024 claim (£540,000 of qualifying expenditure) remains open with HMRC. The Company has obtained advance assurance for EIS/SEIS and EMI; copies are at folder 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15 (Grants)</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The Company received an Innovate UK grant of £250,000 (Sustainable Proteins competition) in 2024, subject to standard claw-back conditions on a change of control or cessation of the project. The Investors’ subscription does not trigger claw-back; confirmation from Innovate UK is at folder 8.4.</w:t>
            </w:r>
          </w:p>
        </w:tc>
      </w:tr>
    </w:tbl>
    <w:p>
      <w:r>
        <w:br w:type="page"/>
      </w:r>
    </w:p>
    <w:p>
      <w:pPr>
        <w:pStyle w:val="Heading1"/>
      </w:pPr>
      <w:r>
        <w:t xml:space="preserve">Appendix 1 — Disclosure Bundle index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Folder</w:t>
            </w:r>
          </w:p>
        </w:tc>
        <w:tc>
          <w:tcPr>
            <w:tcW w:type="dxa" w:w="76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Contents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w:t>
            </w:r>
          </w:p>
        </w:tc>
        <w:tc>
          <w:tcPr>
            <w:tcW w:type="dxa" w:w="7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Corporate — constitutional documents, statutory registers, board and shareholder minutes.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w:t>
            </w:r>
          </w:p>
        </w:tc>
        <w:tc>
          <w:tcPr>
            <w:tcW w:type="dxa" w:w="7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Capitalisation — share register, option grants, SAFE/loan note history, cap table.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w:t>
            </w:r>
          </w:p>
        </w:tc>
        <w:tc>
          <w:tcPr>
            <w:tcW w:type="dxa" w:w="7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Accounts — audited FY2024 &amp; FY2025, management accounts to 31 March 2026, budget.</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4</w:t>
            </w:r>
          </w:p>
        </w:tc>
        <w:tc>
          <w:tcPr>
            <w:tcW w:type="dxa" w:w="7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Finance — banking facilities, equipment finance, R&amp;D-credit bridge.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w:t>
            </w:r>
          </w:p>
        </w:tc>
        <w:tc>
          <w:tcPr>
            <w:tcW w:type="dxa" w:w="7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Commercial — material contracts, supplier and customer agreements, LOIs.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6</w:t>
            </w:r>
          </w:p>
        </w:tc>
        <w:tc>
          <w:tcPr>
            <w:tcW w:type="dxa" w:w="7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Intellectual property — patents, trade marks, IP assignments, contractor agreements.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7</w:t>
            </w:r>
          </w:p>
        </w:tc>
        <w:tc>
          <w:tcPr>
            <w:tcW w:type="dxa" w:w="7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Disputes — supplier statutory demand correspondence.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w:t>
            </w:r>
          </w:p>
        </w:tc>
        <w:tc>
          <w:tcPr>
            <w:tcW w:type="dxa" w:w="7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Tax &amp; grants — R&amp;D claims, EIS/SEIS/EMI assurances, Innovate UK grant.</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9</w:t>
            </w:r>
          </w:p>
        </w:tc>
        <w:tc>
          <w:tcPr>
            <w:tcW w:type="dxa" w:w="7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Employment — service agreements, EMI option agreements, policies.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w:t>
            </w:r>
          </w:p>
        </w:tc>
        <w:tc>
          <w:tcPr>
            <w:tcW w:type="dxa" w:w="7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Regulatory — FSA novel-foods correspondence, environmental permits.</w:t>
            </w:r>
          </w:p>
        </w:tc>
      </w:tr>
    </w:tbl>
    <w:p>
      <w:pPr>
        <w:spacing w:after="160" w:line="276"/>
      </w:pPr>
      <w:r>
        <w:t xml:space="preserve"/>
      </w:r>
    </w:p>
    <w:p>
      <w:pPr>
        <w:spacing w:after="120" w:line="276"/>
      </w:pPr>
      <w:r>
        <w:t xml:space="preserve">Yours faithfully,</w:t>
      </w:r>
    </w:p>
    <w:p>
      <w:pPr>
        <w:spacing w:after="40" w:line="276"/>
      </w:pPr>
      <w:r>
        <w:t xml:space="preserve">………………………………………</w:t>
      </w:r>
    </w:p>
    <w:p>
      <w:pPr>
        <w:spacing w:after="120" w:line="276"/>
      </w:pPr>
      <w:r>
        <w:t xml:space="preserve">Dr Alice Wren, for and on behalf of Larkmoor Bioscience Limited and the Founders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5"/>
        <w:szCs w:val="15"/>
      </w:rPr>
      <w:t xml:space="preserve">WC-00134 · Project Quartz · Disclosure Letter  ·  Strictly confidential and legally privileged</w:t>
    </w:r>
    <w:r>
      <w:rPr>
        <w:color w:val="808080"/>
        <w:sz w:val="15"/>
        <w:szCs w:val="15"/>
      </w:rPr>
      <w:t xml:space="preserve">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5"/>
        <w:szCs w:val="15"/>
      </w:rPr>
      <w:t xml:space="preserve">Project Quartz — Disclosure Letter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2026-06-26T01:24:22.186Z</dcterms:created>
  <dcterms:modified xsi:type="dcterms:W3CDTF">2026-06-26T01:24:22.186Z</dcterms:modified>
</cp:coreProperties>
</file>

<file path=docProps/custom.xml><?xml version="1.0" encoding="utf-8"?>
<Properties xmlns="http://schemas.openxmlformats.org/officeDocument/2006/custom-properties" xmlns:vt="http://schemas.openxmlformats.org/officeDocument/2006/docPropsVTypes"/>
</file>