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30"/>
          <w:szCs w:val="30"/>
        </w:rPr>
        <w:t xml:space="preserve">Whitfield Carter LLP</w:t>
      </w:r>
    </w:p>
    <w:p>
      <w:pPr>
        <w:spacing w:after="0"/>
      </w:pPr>
      <w:r>
        <w:rPr>
          <w:color w:val="1F3864"/>
          <w:sz w:val="18"/>
          <w:szCs w:val="18"/>
        </w:rPr>
        <w:t xml:space="preserve">Solicitors</w:t>
      </w:r>
    </w:p>
    <w:p>
      <w:pPr>
        <w:pBdr>
          <w:bottom w:val="single" w:color="1F3864" w:sz="6" w:space="2"/>
        </w:pBdr>
        <w:spacing w:after="40"/>
      </w:pPr>
      <w:r>
        <w:rPr>
          <w:color w:val="595959"/>
          <w:sz w:val="16"/>
          <w:szCs w:val="16"/>
        </w:rPr>
        <w:t xml:space="preserve">22 Bishopsgate, London EC2N 4BQ  ·  DX 178 London  ·  +44 (0)20 7946 0000  ·  www.whitfieldcarter.com</w:t>
      </w:r>
    </w:p>
    <w:p>
      <w:pPr>
        <w:spacing w:after="40" w:line="276"/>
      </w:pPr>
      <w:r>
        <w:t xml:space="preserve"/>
      </w:r>
    </w:p>
    <w:p>
      <w:pPr>
        <w:spacing w:after="120" w:line="276"/>
      </w:pPr>
      <w:r>
        <w:rPr>
          <w:i/>
          <w:iCs/>
        </w:rPr>
        <w:t xml:space="preserve">Strictly private and confidential</w:t>
      </w:r>
    </w:p>
    <w:p>
      <w:pPr>
        <w:spacing w:after="120" w:line="276"/>
      </w:pPr>
      <w:r>
        <w:t xml:space="preserve">Dr Alice Wren</w:t>
      </w:r>
    </w:p>
    <w:p>
      <w:pPr>
        <w:spacing w:after="120" w:line="276"/>
      </w:pPr>
      <w:r>
        <w:t xml:space="preserve">Chief Executive Officer</w:t>
      </w:r>
    </w:p>
    <w:p>
      <w:pPr>
        <w:spacing w:after="120" w:line="276"/>
      </w:pPr>
      <w:r>
        <w:t xml:space="preserve">Larkmoor Bioscience Limited</w:t>
      </w:r>
    </w:p>
    <w:p>
      <w:pPr>
        <w:spacing w:after="120" w:line="276"/>
      </w:pPr>
      <w:r>
        <w:t xml:space="preserve">Unit 7, Granta Park, Great Abington, Cambridge CB21 6GP</w:t>
      </w:r>
    </w:p>
    <w:p>
      <w:pPr>
        <w:spacing w:after="160" w:line="276"/>
      </w:pPr>
      <w:r>
        <w:t xml:space="preserve">13 January 2026</w:t>
      </w:r>
    </w:p>
    <w:p>
      <w:pPr>
        <w:spacing w:after="120" w:line="276"/>
      </w:pPr>
      <w:r>
        <w:t xml:space="preserve">Dear Alice,</w:t>
      </w:r>
    </w:p>
    <w:p>
      <w:pPr>
        <w:spacing w:after="120"/>
      </w:pPr>
      <w:r>
        <w:rPr>
          <w:b/>
          <w:bCs/>
        </w:rPr>
        <w:t xml:space="preserve">Project Quartz — proposed Series A financing: engagement and terms of business</w:t>
      </w:r>
    </w:p>
    <w:p>
      <w:pPr>
        <w:spacing w:after="120" w:line="276"/>
      </w:pPr>
      <w:r>
        <w:t xml:space="preserve">Thank you for instructing Whitfield Carter LLP in connection with the Company’s proposed Series A equity financing led by Ravensworth Ventures LLP (the “Transaction”). This letter, together with our enclosed standard terms of business, sets out the basis on which we will act.</w:t>
      </w:r>
    </w:p>
    <w:p>
      <w:pPr>
        <w:pStyle w:val="Heading2"/>
      </w:pPr>
      <w:r>
        <w:t xml:space="preserve">1. Scope of work</w:t>
      </w:r>
    </w:p>
    <w:p>
      <w:pPr>
        <w:spacing w:after="120" w:line="276"/>
      </w:pPr>
      <w:r>
        <w:t xml:space="preserve">We will advise the Company on the negotiation, documentation and completion of the Transaction. Our work will include:</w:t>
      </w:r>
    </w:p>
    <w:p>
      <w:pPr>
        <w:pStyle w:val="ListParagraph"/>
        <w:numPr>
          <w:ilvl w:val="0"/>
          <w:numId w:val="2"/>
        </w:numPr>
        <w:spacing w:after="80"/>
      </w:pPr>
      <w:r>
        <w:t xml:space="preserve">reviewing the investor term sheet and advising on its principal terms and investor protections;</w:t>
      </w:r>
    </w:p>
    <w:p>
      <w:pPr>
        <w:pStyle w:val="ListParagraph"/>
        <w:numPr>
          <w:ilvl w:val="0"/>
          <w:numId w:val="2"/>
        </w:numPr>
        <w:spacing w:after="80"/>
      </w:pPr>
      <w:r>
        <w:t xml:space="preserve">preparing and negotiating the subscription and shareholders’ agreement, amended articles of association, investors’ rights agreement and any side letter;</w:t>
      </w:r>
    </w:p>
    <w:p>
      <w:pPr>
        <w:pStyle w:val="ListParagraph"/>
        <w:numPr>
          <w:ilvl w:val="0"/>
          <w:numId w:val="2"/>
        </w:numPr>
        <w:spacing w:after="80"/>
      </w:pPr>
      <w:r>
        <w:t xml:space="preserve">managing the legal due diligence process and preparing the disclosure letter and disclosure bundle;</w:t>
      </w:r>
    </w:p>
    <w:p>
      <w:pPr>
        <w:pStyle w:val="ListParagraph"/>
        <w:numPr>
          <w:ilvl w:val="0"/>
          <w:numId w:val="2"/>
        </w:numPr>
        <w:spacing w:after="80"/>
      </w:pPr>
      <w:r>
        <w:t xml:space="preserve">advising on the Founder service agreements, leaver and vesting provisions, and the EMI option pool;</w:t>
      </w:r>
    </w:p>
    <w:p>
      <w:pPr>
        <w:pStyle w:val="ListParagraph"/>
        <w:numPr>
          <w:ilvl w:val="0"/>
          <w:numId w:val="2"/>
        </w:numPr>
        <w:spacing w:after="80"/>
      </w:pPr>
      <w:r>
        <w:t xml:space="preserve">preparing the board and shareholder resolutions and Companies House filings; and</w:t>
      </w:r>
    </w:p>
    <w:p>
      <w:pPr>
        <w:pStyle w:val="ListParagraph"/>
        <w:numPr>
          <w:ilvl w:val="0"/>
          <w:numId w:val="2"/>
        </w:numPr>
        <w:spacing w:after="80"/>
      </w:pPr>
      <w:r>
        <w:t xml:space="preserve">co-ordinating completion, funds flow and post-completion matters.</w:t>
      </w:r>
    </w:p>
    <w:p>
      <w:pPr>
        <w:spacing w:after="120" w:line="276"/>
      </w:pPr>
      <w:r>
        <w:t xml:space="preserve">Our work does not include tax structuring advice (on which your accountants, Marlow Tax &amp; Advisory Ltd, are advising), or advice on the underlying technology or regulatory novel-foods dossier, save as it bears on the warranties and disclosure.</w:t>
      </w:r>
    </w:p>
    <w:p>
      <w:pPr>
        <w:pStyle w:val="Heading2"/>
      </w:pPr>
      <w:r>
        <w:t xml:space="preserve">2. The team and our fees</w:t>
      </w:r>
    </w:p>
    <w:p>
      <w:pPr>
        <w:spacing w:after="120" w:line="276"/>
      </w:pPr>
      <w:r>
        <w:t xml:space="preserve">The matter will be led by Sarah Whitfield (Partner), supported by James Osei (Senior Associate) and Elena Marchetti (Associate). Our current hourly rates are £620 (Partner), £420 (Senior Associate) and £290 (Associate), exclusive of VAT.</w:t>
      </w:r>
    </w:p>
    <w:p>
      <w:pPr>
        <w:spacing w:after="120" w:line="276"/>
      </w:pPr>
      <w:r>
        <w:t xml:space="preserve">We estimate our fees for the Transaction (assuming a single round of negotiation and a completion within the exclusivity period) at between £85,000 and £105,000 plus VAT and disbursements. We will tell you promptly if it appears the estimate will be exceeded. Under the term sheet the Company is also expected to bear the Lead Investor’s reasonable legal costs up to £60,000 plus VAT.</w:t>
      </w:r>
    </w:p>
    <w:p>
      <w:pPr>
        <w:pStyle w:val="Heading2"/>
      </w:pPr>
      <w:r>
        <w:t xml:space="preserve">3. Billing and terms of business</w:t>
      </w:r>
    </w:p>
    <w:p>
      <w:pPr>
        <w:spacing w:after="120" w:line="276"/>
      </w:pPr>
      <w:r>
        <w:t xml:space="preserve">We will bill monthly in arrears. Our invoices are payable within 14 days. Our standard terms of business (enclosed), including provisions on confidentiality, conflicts, limitation of liability and the handling of client money, apply to this engagement.</w:t>
      </w:r>
    </w:p>
    <w:p>
      <w:pPr>
        <w:pStyle w:val="Heading2"/>
      </w:pPr>
      <w:r>
        <w:t xml:space="preserve">4. Anti-money laundering and conflicts</w:t>
      </w:r>
    </w:p>
    <w:p>
      <w:pPr>
        <w:spacing w:after="120" w:line="276"/>
      </w:pPr>
      <w:r>
        <w:t xml:space="preserve">As a regulated firm we are required to verify the identity of our client and its beneficial owners before we begin substantive work. Please arrange for the identification documents listed in the enclosed form to be provided. We have carried out a conflicts check and are not aware of any conflict that would prevent us from acting.</w:t>
      </w:r>
    </w:p>
    <w:p>
      <w:pPr>
        <w:spacing w:after="160" w:line="276"/>
      </w:pPr>
      <w:r>
        <w:t xml:space="preserve">Please confirm your acceptance of these terms by signing and returning the enclosed copy of this letter. We are delighted to be working with you on Project Quartz.</w:t>
      </w:r>
    </w:p>
    <w:p>
      <w:pPr>
        <w:spacing w:after="120" w:line="276"/>
      </w:pPr>
      <w:r>
        <w:t xml:space="preserve">Yours sincerely,</w:t>
      </w:r>
    </w:p>
    <w:p>
      <w:pPr>
        <w:spacing w:after="120" w:line="276"/>
      </w:pPr>
      <w:r>
        <w:rPr>
          <w:b/>
          <w:bCs/>
        </w:rPr>
        <w:t xml:space="preserve">Sarah Whitfield</w:t>
      </w:r>
    </w:p>
    <w:p>
      <w:pPr>
        <w:spacing w:after="120" w:line="276"/>
      </w:pPr>
      <w:r>
        <w:t xml:space="preserve">Partner · Whitfield Carter LLP</w:t>
      </w:r>
    </w:p>
    <w:p>
      <w:pPr>
        <w:spacing w:after="120" w:line="276"/>
      </w:pPr>
      <w:r>
        <w:t xml:space="preserve">sarah.whitfield@whitfieldcarter.com · +44 (0)20 7946 0012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5"/>
        <w:szCs w:val="15"/>
      </w:rPr>
      <w:t xml:space="preserve">WC-00134 · Project Quartz · Engagement Letter  ·  Strictly confidential and legally privileged</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2026-06-26T01:24:22.461Z</dcterms:created>
  <dcterms:modified xsi:type="dcterms:W3CDTF">2026-06-26T01:24:22.461Z</dcterms:modified>
</cp:coreProperties>
</file>

<file path=docProps/custom.xml><?xml version="1.0" encoding="utf-8"?>
<Properties xmlns="http://schemas.openxmlformats.org/officeDocument/2006/custom-properties" xmlns:vt="http://schemas.openxmlformats.org/officeDocument/2006/docPropsVTypes"/>
</file>