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sz w:val="20"/>
          <w:szCs w:val="20"/>
        </w:rPr>
        <w:t xml:space="preserve">DATED            2026</w:t>
      </w:r>
    </w:p>
    <w:p>
      <w:pPr>
        <w:pBdr>
          <w:bottom w:val="1" w:color="1F3864" w:sz="6" w:space="6"/>
        </w:pBdr>
        <w:spacing w:after="300"/>
        <w:jc w:val="center"/>
      </w:pPr>
      <w:r>
        <w:t xml:space="preserve"/>
      </w:r>
    </w:p>
    <w:p>
      <w:pPr>
        <w:spacing w:after="80"/>
        <w:jc w:val="center"/>
      </w:pPr>
      <w:r>
        <w:rPr>
          <w:b/>
          <w:bCs/>
          <w:sz w:val="28"/>
          <w:szCs w:val="28"/>
        </w:rPr>
        <w:t xml:space="preserve">INVESTORS’ RIGHTS AGREEMENT</w:t>
      </w:r>
    </w:p>
    <w:p>
      <w:pPr>
        <w:spacing w:after="240"/>
        <w:jc w:val="center"/>
      </w:pPr>
      <w:r>
        <w:rPr>
          <w:sz w:val="20"/>
          <w:szCs w:val="20"/>
        </w:rPr>
        <w:t xml:space="preserve">relating to Larkmoor Bioscience Limited</w:t>
      </w:r>
    </w:p>
    <w:p>
      <w:pPr>
        <w:spacing w:after="120" w:line="276"/>
      </w:pPr>
      <w:r>
        <w:t xml:space="preserve">This agreement supplements the Series A Subscription and Shareholders’ Agreement of the same date and sets out certain additional rights of the Investors. Terms defined in the Investment Agreement have the same meanings here.</w:t>
      </w:r>
    </w:p>
    <w:p>
      <w:pPr>
        <w:tabs>
          <w:tab w:val="left" w:pos="720"/>
        </w:tabs>
        <w:spacing w:after="80" w:before="160"/>
      </w:pPr>
      <w:r>
        <w:rPr>
          <w:b/>
          <w:bCs/>
        </w:rPr>
        <w:t xml:space="preserve">1	</w:t>
      </w:r>
      <w:r>
        <w:rPr>
          <w:b/>
          <w:bCs/>
        </w:rPr>
        <w:t xml:space="preserve">Information and inspection rights</w:t>
      </w:r>
    </w:p>
    <w:p>
      <w:pPr>
        <w:spacing w:after="120" w:line="276"/>
        <w:ind w:left="720"/>
      </w:pPr>
      <w:r>
        <w:t xml:space="preserve">The Company will provide each Major Investor (a holder of not less than 5% of the Series A Preferred Shares) with: monthly management accounts within 20 Business Days of month-end; quarterly KPI and cash-runway reports; an annual budget at least 30 days before each financial year; the audited accounts within four months of year-end; and the Company’s capitalisation table on request. Each Major Investor and its representatives may, on reasonable notice, inspect the Company’s premises, books and records.</w:t>
      </w:r>
    </w:p>
    <w:p>
      <w:pPr>
        <w:tabs>
          <w:tab w:val="left" w:pos="720"/>
        </w:tabs>
        <w:spacing w:after="80" w:before="160"/>
      </w:pPr>
      <w:r>
        <w:rPr>
          <w:b/>
          <w:bCs/>
        </w:rPr>
        <w:t xml:space="preserve">2	</w:t>
      </w:r>
      <w:r>
        <w:rPr>
          <w:b/>
          <w:bCs/>
        </w:rPr>
        <w:t xml:space="preserve">Pre-emptive (anti-dilution participation) rights</w:t>
      </w:r>
    </w:p>
    <w:p>
      <w:pPr>
        <w:spacing w:after="120" w:line="276"/>
        <w:ind w:left="720"/>
      </w:pPr>
      <w:r>
        <w:t xml:space="preserve">Each Major Investor has the right to participate in any future issue of equity securities (other than Permitted Issues) pro rata to its fully diluted holding, so as to maintain its percentage interest, exercisable within 14 days of the Company’s written offer.</w:t>
      </w:r>
    </w:p>
    <w:p>
      <w:pPr>
        <w:tabs>
          <w:tab w:val="left" w:pos="720"/>
        </w:tabs>
        <w:spacing w:after="80" w:before="160"/>
      </w:pPr>
      <w:r>
        <w:rPr>
          <w:b/>
          <w:bCs/>
        </w:rPr>
        <w:t xml:space="preserve">3	</w:t>
      </w:r>
      <w:r>
        <w:rPr>
          <w:b/>
          <w:bCs/>
        </w:rPr>
        <w:t xml:space="preserve">Registration / IPO co-operation</w:t>
      </w:r>
    </w:p>
    <w:p>
      <w:pPr>
        <w:spacing w:after="120" w:line="276"/>
        <w:ind w:left="720"/>
      </w:pPr>
      <w:r>
        <w:t xml:space="preserve">On a proposed listing, the Company will use reasonable endeavours to procure that the Investors are able to sell a pro-rata portion of their shares in any secondary component of the offering, subject to customary underwriter lock-up and orderly-market arrangements.</w:t>
      </w:r>
    </w:p>
    <w:p>
      <w:pPr>
        <w:tabs>
          <w:tab w:val="left" w:pos="720"/>
        </w:tabs>
        <w:spacing w:after="80" w:before="160"/>
      </w:pPr>
      <w:r>
        <w:rPr>
          <w:b/>
          <w:bCs/>
        </w:rPr>
        <w:t xml:space="preserve">4	</w:t>
      </w:r>
      <w:r>
        <w:rPr>
          <w:b/>
          <w:bCs/>
        </w:rPr>
        <w:t xml:space="preserve">Most-favoured-nation</w:t>
      </w:r>
    </w:p>
    <w:p>
      <w:pPr>
        <w:spacing w:after="120" w:line="276"/>
        <w:ind w:left="720"/>
      </w:pPr>
      <w:r>
        <w:t xml:space="preserve">If the Company grants to any future investor in a subsequent equity financing of equal or junior rank any contractual right more favourable than those granted to the Investors under the Transaction Documents, the Company will offer the same right to each Major Investor.</w:t>
      </w:r>
    </w:p>
    <w:p>
      <w:pPr>
        <w:tabs>
          <w:tab w:val="left" w:pos="720"/>
        </w:tabs>
        <w:spacing w:after="80" w:before="160"/>
      </w:pPr>
      <w:r>
        <w:rPr>
          <w:b/>
          <w:bCs/>
        </w:rPr>
        <w:t xml:space="preserve">5	</w:t>
      </w:r>
      <w:r>
        <w:rPr>
          <w:b/>
          <w:bCs/>
        </w:rPr>
        <w:t xml:space="preserve">Founder vesting and key-person</w:t>
      </w:r>
    </w:p>
    <w:p>
      <w:pPr>
        <w:spacing w:after="120" w:line="276"/>
        <w:ind w:left="720"/>
      </w:pPr>
      <w:r>
        <w:t xml:space="preserve">The Company will procure that each Founder’s service agreement and the leaver/vesting provisions in the Articles remain in force, and will notify the Lead Investor promptly if any Founder gives or receives notice of termination, or is absent for more than 20 consecutive Business Days other than on approved leave.</w:t>
      </w:r>
    </w:p>
    <w:p>
      <w:pPr>
        <w:tabs>
          <w:tab w:val="left" w:pos="720"/>
        </w:tabs>
        <w:spacing w:after="80" w:before="160"/>
      </w:pPr>
      <w:r>
        <w:rPr>
          <w:b/>
          <w:bCs/>
        </w:rPr>
        <w:t xml:space="preserve">6	</w:t>
      </w:r>
      <w:r>
        <w:rPr>
          <w:b/>
          <w:bCs/>
        </w:rPr>
        <w:t xml:space="preserve">Insurance and compliance</w:t>
      </w:r>
    </w:p>
    <w:p>
      <w:pPr>
        <w:spacing w:after="120" w:line="276"/>
        <w:ind w:left="720"/>
      </w:pPr>
      <w:r>
        <w:t xml:space="preserve">The Company will maintain directors’ and officers’ liability insurance and key-person insurance on the Founders, each on terms approved by the Lead Investor, and will maintain an anti-bribery and data-protection compliance policy reviewed annually by the Board.</w:t>
      </w:r>
    </w:p>
    <w:p>
      <w:pPr>
        <w:tabs>
          <w:tab w:val="left" w:pos="720"/>
        </w:tabs>
        <w:spacing w:after="80" w:before="160"/>
      </w:pPr>
      <w:r>
        <w:rPr>
          <w:b/>
          <w:bCs/>
        </w:rPr>
        <w:t xml:space="preserve">7	</w:t>
      </w:r>
      <w:r>
        <w:rPr>
          <w:b/>
          <w:bCs/>
        </w:rPr>
        <w:t xml:space="preserve">Reporting on use of proceeds</w:t>
      </w:r>
    </w:p>
    <w:p>
      <w:pPr>
        <w:spacing w:after="120" w:line="276"/>
        <w:ind w:left="720"/>
      </w:pPr>
      <w:r>
        <w:t xml:space="preserve">For so long as the Lead Investor holds Series A Preferred Shares, the Company will report quarterly on the application of the subscription proceeds against the agreed use-of-proceeds statement and budget.</w:t>
      </w:r>
    </w:p>
    <w:p>
      <w:pPr>
        <w:tabs>
          <w:tab w:val="left" w:pos="720"/>
        </w:tabs>
        <w:spacing w:after="80" w:before="160"/>
      </w:pPr>
      <w:r>
        <w:rPr>
          <w:b/>
          <w:bCs/>
        </w:rPr>
        <w:t xml:space="preserve">8	</w:t>
      </w:r>
      <w:r>
        <w:rPr>
          <w:b/>
          <w:bCs/>
        </w:rPr>
        <w:t xml:space="preserve">Confidentiality, term and governing law</w:t>
      </w:r>
    </w:p>
    <w:p>
      <w:pPr>
        <w:spacing w:after="120" w:line="276"/>
        <w:ind w:left="720"/>
      </w:pPr>
      <w:r>
        <w:t xml:space="preserve">The confidentiality provisions of the Investment Agreement apply. This agreement continues until the Investors cease to hold any Series A Preferred Shares or an Exit occurs, and is governed by the law of England and Wales, with the parties submitting to the exclusive jurisdiction of the English courts.</w:t>
      </w:r>
    </w:p>
    <w:p>
      <w:pPr>
        <w:spacing w:before="240"/>
      </w:pPr>
      <w:r>
        <w:rPr>
          <w:i/>
          <w:iCs/>
        </w:rPr>
        <w:t xml:space="preserve">Signed for and on behalf of the parties.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Investors' Rights Agreement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Investors' Rights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2026-06-26T01:24:22.063Z</dcterms:created>
  <dcterms:modified xsi:type="dcterms:W3CDTF">2026-06-26T01:24:22.063Z</dcterms:modified>
</cp:coreProperties>
</file>

<file path=docProps/custom.xml><?xml version="1.0" encoding="utf-8"?>
<Properties xmlns="http://schemas.openxmlformats.org/officeDocument/2006/custom-properties" xmlns:vt="http://schemas.openxmlformats.org/officeDocument/2006/docPropsVTypes"/>
</file>