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sz w:val="20"/>
          <w:szCs w:val="20"/>
        </w:rPr>
        <w:t xml:space="preserve">DATED            2026</w:t>
      </w:r>
    </w:p>
    <w:p>
      <w:pPr>
        <w:spacing w:after="240"/>
        <w:jc w:val="center"/>
      </w:pPr>
      <w:r>
        <w:rPr>
          <w:b/>
          <w:bCs/>
          <w:sz w:val="26"/>
          <w:szCs w:val="26"/>
        </w:rPr>
        <w:t xml:space="preserve">SIDE LETTER — RAVENSWORTH VENTURES LLP</w:t>
      </w:r>
    </w:p>
    <w:p>
      <w:pPr>
        <w:spacing w:after="120" w:line="276"/>
      </w:pPr>
      <w:r>
        <w:t xml:space="preserve">To: Larkmoor Bioscience Limited</w:t>
      </w:r>
    </w:p>
    <w:p>
      <w:pPr>
        <w:spacing w:after="120" w:line="276"/>
      </w:pPr>
      <w:r>
        <w:t xml:space="preserve">From: Ravensworth Ventures LLP (the “Lead Investor”)</w:t>
      </w:r>
    </w:p>
    <w:p>
      <w:pPr>
        <w:spacing w:after="120" w:line="276"/>
      </w:pPr>
      <w:r>
        <w:t xml:space="preserve">This side letter is entered into in connection with, and is supplemental to, the Series A Subscription and Shareholders’ Agreement and the Investors’ Rights Agreement, each of the same date (together, the “Principal Agreements”). Terms defined in the Principal Agreements apply here. In the event of conflict between this side letter and the Principal Agreements as between the Company and the Lead Investor, this side letter prevails.</w:t>
      </w:r>
    </w:p>
    <w:p>
      <w:pPr>
        <w:tabs>
          <w:tab w:val="left" w:pos="720"/>
        </w:tabs>
        <w:spacing w:after="80" w:before="160"/>
      </w:pPr>
      <w:r>
        <w:rPr>
          <w:b/>
          <w:bCs/>
        </w:rPr>
        <w:t xml:space="preserve">1	</w:t>
      </w:r>
      <w:r>
        <w:rPr>
          <w:b/>
          <w:bCs/>
        </w:rPr>
        <w:t xml:space="preserve">Board and Observer</w:t>
      </w:r>
    </w:p>
    <w:p>
      <w:pPr>
        <w:spacing w:after="120" w:line="276"/>
        <w:ind w:left="720"/>
      </w:pPr>
      <w:r>
        <w:t xml:space="preserve">For so long as the Lead Investor holds not less than 10% of the Series A Preferred Shares it may appoint and remove one Investor Director (initially Aisha Chowdhury) and one Observer, and the quorum provisions in the Articles requiring the presence of the Investor Director apply for its benefit.</w:t>
      </w:r>
    </w:p>
    <w:p>
      <w:pPr>
        <w:tabs>
          <w:tab w:val="left" w:pos="720"/>
        </w:tabs>
        <w:spacing w:after="80" w:before="160"/>
      </w:pPr>
      <w:r>
        <w:rPr>
          <w:b/>
          <w:bCs/>
        </w:rPr>
        <w:t xml:space="preserve">2	</w:t>
      </w:r>
      <w:r>
        <w:rPr>
          <w:b/>
          <w:bCs/>
        </w:rPr>
        <w:t xml:space="preserve">Enhanced information rights</w:t>
      </w:r>
    </w:p>
    <w:p>
      <w:pPr>
        <w:spacing w:after="120" w:line="276"/>
        <w:ind w:left="720"/>
      </w:pPr>
      <w:r>
        <w:t xml:space="preserve">In addition to the information rights in the Investors’ Rights Agreement, the Company will provide the Lead Investor with: a monthly written CEO update; access to the Company’s management for a quarterly review meeting; and prompt notice of any breach of a banking or equipment-finance covenant.</w:t>
      </w:r>
    </w:p>
    <w:p>
      <w:pPr>
        <w:tabs>
          <w:tab w:val="left" w:pos="720"/>
        </w:tabs>
        <w:spacing w:after="80" w:before="160"/>
      </w:pPr>
      <w:r>
        <w:rPr>
          <w:b/>
          <w:bCs/>
        </w:rPr>
        <w:t xml:space="preserve">3	</w:t>
      </w:r>
      <w:r>
        <w:rPr>
          <w:b/>
          <w:bCs/>
        </w:rPr>
        <w:t xml:space="preserve">Most-favoured-nation (MFN)</w:t>
      </w:r>
    </w:p>
    <w:p>
      <w:pPr>
        <w:spacing w:after="120" w:line="276"/>
        <w:ind w:left="720"/>
      </w:pPr>
      <w:r>
        <w:t xml:space="preserve">If, in any subsequent financing of equal or junior rank, the Company grants any other investor a contractual right that is more favourable than the rights of the Lead Investor under the Transaction Documents, the Company will promptly offer the same right to the Lead Investor.</w:t>
      </w:r>
    </w:p>
    <w:p>
      <w:pPr>
        <w:tabs>
          <w:tab w:val="left" w:pos="720"/>
        </w:tabs>
        <w:spacing w:after="80" w:before="160"/>
      </w:pPr>
      <w:r>
        <w:rPr>
          <w:b/>
          <w:bCs/>
        </w:rPr>
        <w:t xml:space="preserve">4	</w:t>
      </w:r>
      <w:r>
        <w:rPr>
          <w:b/>
          <w:bCs/>
        </w:rPr>
        <w:t xml:space="preserve">Pro-rata and future rounds</w:t>
      </w:r>
    </w:p>
    <w:p>
      <w:pPr>
        <w:spacing w:after="120" w:line="276"/>
        <w:ind w:left="720"/>
      </w:pPr>
      <w:r>
        <w:t xml:space="preserve">The Company will use reasonable endeavours to procure that, in any subsequent equity financing, the Lead Investor is offered the opportunity to invest at least its pro-rata share at the relevant price, and (where a new lead requests a board seat) to retain its Investor Director.</w:t>
      </w:r>
    </w:p>
    <w:p>
      <w:pPr>
        <w:tabs>
          <w:tab w:val="left" w:pos="720"/>
        </w:tabs>
        <w:spacing w:after="80" w:before="160"/>
      </w:pPr>
      <w:r>
        <w:rPr>
          <w:b/>
          <w:bCs/>
        </w:rPr>
        <w:t xml:space="preserve">5	</w:t>
      </w:r>
      <w:r>
        <w:rPr>
          <w:b/>
          <w:bCs/>
        </w:rPr>
        <w:t xml:space="preserve">Co-operation on EIS/VCT and reporting</w:t>
      </w:r>
    </w:p>
    <w:p>
      <w:pPr>
        <w:spacing w:after="120" w:line="276"/>
        <w:ind w:left="720"/>
      </w:pPr>
      <w:r>
        <w:t xml:space="preserve">The Company will provide such information and certificates as the Lead Investor reasonably requires for its own regulatory, tax and limited-partner reporting, including in relation to the Lead Investor’s fund structure.</w:t>
      </w:r>
    </w:p>
    <w:p>
      <w:pPr>
        <w:tabs>
          <w:tab w:val="left" w:pos="720"/>
        </w:tabs>
        <w:spacing w:after="80" w:before="160"/>
      </w:pPr>
      <w:r>
        <w:rPr>
          <w:b/>
          <w:bCs/>
        </w:rPr>
        <w:t xml:space="preserve">6	</w:t>
      </w:r>
      <w:r>
        <w:rPr>
          <w:b/>
          <w:bCs/>
        </w:rPr>
        <w:t xml:space="preserve">Confidentiality and governing law</w:t>
      </w:r>
    </w:p>
    <w:p>
      <w:pPr>
        <w:spacing w:after="120" w:line="276"/>
        <w:ind w:left="720"/>
      </w:pPr>
      <w:r>
        <w:t xml:space="preserve">This side letter is confidential to the parties, continues for so long as the Lead Investor holds any Series A Preferred Shares, and is governed by the law of England and Wales, the parties submitting to the exclusive jurisdiction of the English courts.</w:t>
      </w:r>
    </w:p>
    <w:p>
      <w:pPr>
        <w:spacing w:before="200"/>
      </w:pPr>
      <w:r>
        <w:rPr>
          <w:b/>
          <w:bCs/>
        </w:rPr>
        <w:t xml:space="preserve">Agreed and accepted:</w:t>
      </w:r>
    </w:p>
    <w:p>
      <w:pPr>
        <w:spacing w:after="120" w:line="276"/>
      </w:pPr>
      <w:r>
        <w:t xml:space="preserve">……………………………  for Larkmoor Bioscience Limited</w:t>
      </w:r>
    </w:p>
    <w:p>
      <w:pPr>
        <w:spacing w:after="120" w:line="276"/>
      </w:pPr>
      <w:r>
        <w:t xml:space="preserve">……………………………  for Ravensworth Ventures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5"/>
        <w:szCs w:val="15"/>
      </w:rPr>
      <w:t xml:space="preserve">WC-00134 · Project Quartz · Side Letter  ·  Strictly confidential and legally privileged</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5"/>
        <w:szCs w:val="15"/>
      </w:rPr>
      <w:t xml:space="preserve">Project Quartz — Side Letter (Ravensworth)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2026-06-26T01:24:22.573Z</dcterms:created>
  <dcterms:modified xsi:type="dcterms:W3CDTF">2026-06-26T01:24:22.573Z</dcterms:modified>
</cp:coreProperties>
</file>

<file path=docProps/custom.xml><?xml version="1.0" encoding="utf-8"?>
<Properties xmlns="http://schemas.openxmlformats.org/officeDocument/2006/custom-properties" xmlns:vt="http://schemas.openxmlformats.org/officeDocument/2006/docPropsVTypes"/>
</file>