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30"/>
          <w:szCs w:val="30"/>
        </w:rPr>
        <w:t xml:space="preserve">Whitfield Carter LLP</w:t>
      </w:r>
    </w:p>
    <w:p>
      <w:pPr>
        <w:spacing w:after="0"/>
      </w:pPr>
      <w:r>
        <w:rPr>
          <w:color w:val="1F3864"/>
          <w:sz w:val="18"/>
          <w:szCs w:val="18"/>
        </w:rPr>
        <w:t xml:space="preserve">Solicitors</w:t>
      </w:r>
    </w:p>
    <w:p>
      <w:pPr>
        <w:pBdr>
          <w:bottom w:val="single" w:color="1F3864" w:sz="6" w:space="2"/>
        </w:pBdr>
        <w:spacing w:after="40"/>
      </w:pPr>
      <w:r>
        <w:rPr>
          <w:color w:val="595959"/>
          <w:sz w:val="16"/>
          <w:szCs w:val="16"/>
        </w:rPr>
        <w:t xml:space="preserve">22 Bishopsgate, London EC2N 4BQ  ·  DX 178 London  ·  +44 (0)20 7946 0000  ·  www.whitfieldcarter.com</w:t>
      </w:r>
    </w:p>
    <w:p>
      <w:pPr>
        <w:spacing w:after="40" w:before="120"/>
        <w:jc w:val="center"/>
      </w:pPr>
      <w:r>
        <w:rPr>
          <w:b/>
          <w:bCs/>
          <w:sz w:val="28"/>
          <w:szCs w:val="28"/>
        </w:rPr>
        <w:t xml:space="preserve">PROJECT QUARTZ</w:t>
      </w:r>
    </w:p>
    <w:p>
      <w:pPr>
        <w:spacing w:after="40"/>
        <w:jc w:val="center"/>
      </w:pPr>
      <w:r>
        <w:rPr>
          <w:b/>
          <w:bCs/>
          <w:sz w:val="22"/>
          <w:szCs w:val="22"/>
        </w:rPr>
        <w:t xml:space="preserve">TERM SHEET — PROPOSED SERIES A INVESTMENT IN LARKMOOR BIOSCIENCE LIMITED</w:t>
      </w:r>
    </w:p>
    <w:p>
      <w:pPr>
        <w:spacing w:after="200"/>
        <w:jc w:val="center"/>
      </w:pPr>
      <w:r>
        <w:rPr>
          <w:i/>
          <w:iCs/>
          <w:sz w:val="18"/>
          <w:szCs w:val="18"/>
        </w:rPr>
        <w:t xml:space="preserve">Strictly private and confidential · Subject to contract · 9 February 2026</w:t>
      </w:r>
    </w:p>
    <w:p>
      <w:pPr>
        <w:spacing w:after="120" w:line="276"/>
      </w:pPr>
      <w:r>
        <w:t xml:space="preserve">This term sheet (the “Term Sheet”) sets out the principal terms on which Ravensworth Ventures LLP (acting as lead investor) and the other investors listed in Part 1 of the Schedule (together, the “Investors”) propose to subscribe for Series A Preferred Shares in Larkmoor Bioscience Limited (the “Company”). Save for paragraphs 14 to 18 (which are intended to be legally binding), this Term Sheet is not legally binding and is subject to contract, satisfactory completion of due diligence and approval by the Investors’ investment committees.</w:t>
      </w:r>
    </w:p>
    <w:p>
      <w:pPr>
        <w:pStyle w:val="Heading1"/>
      </w:pPr>
      <w:r>
        <w:t xml:space="preserve">Part A — Principal Economic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Item</w:t>
            </w:r>
          </w:p>
        </w:tc>
        <w:tc>
          <w:tcPr>
            <w:tcW w:type="dxa" w:w="67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Terms</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Company</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Larkmoor Bioscience Limited (registered in England and Wales, company no. 13042288), whose registered office is at Unit 7, Granta Park, Great Abington, Cambridge CB21 6GP.</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Round</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Series A.</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Pre-money valuation</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£30,000,000 (fully diluted, including the enlarged Option Pool referred to below).</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New money</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£10,000,000 in aggregate.</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Post-money valuation</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£40,000,000.</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Price per share</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 per Series A Preferred Share.</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New shares</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 Series A Preferred Shares, representing 25% of the Company’s fully diluted share capital on Completion.</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Lead Investor</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 £8,000,000 (800,000 Series A Preferred Shares).</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Co-Investor</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 £2,000,000 (200,000 Series A Preferred Shares).</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 enlarged option pool equal to 12.5% of the fully diluted post-money share capital, established pre-money (i.e. dilution borne by existing shareholders).</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Use of proceeds</w:t>
            </w:r>
          </w:p>
        </w:tc>
        <w:tc>
          <w:tcPr>
            <w:tcW w:type="dxa" w:w="6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Scale-up of the Company’s precision-fermentation pilot line; expansion of the R&amp;D and bioprocess engineering teams; regulatory (novel-foods) workstream; and general working capital.</w:t>
            </w:r>
          </w:p>
        </w:tc>
      </w:tr>
    </w:tbl>
    <w:p>
      <w:pPr>
        <w:spacing w:after="120" w:line="276"/>
      </w:pPr>
      <w:r>
        <w:t xml:space="preserve"/>
      </w:r>
    </w:p>
    <w:p>
      <w:pPr>
        <w:pStyle w:val="Heading1"/>
      </w:pPr>
      <w:r>
        <w:t xml:space="preserve">Part B — Investor Protections</w:t>
      </w:r>
    </w:p>
    <w:p>
      <w:pPr>
        <w:tabs>
          <w:tab w:val="left" w:pos="720"/>
        </w:tabs>
        <w:spacing w:after="80" w:before="160"/>
      </w:pPr>
      <w:r>
        <w:rPr>
          <w:b/>
          <w:bCs/>
        </w:rPr>
        <w:t xml:space="preserve">1	</w:t>
      </w:r>
      <w:r>
        <w:rPr>
          <w:b/>
          <w:bCs/>
        </w:rPr>
        <w:t xml:space="preserve">Liquidation Preference</w:t>
      </w:r>
    </w:p>
    <w:p>
      <w:pPr>
        <w:spacing w:after="120" w:line="276"/>
        <w:ind w:left="720"/>
      </w:pPr>
      <w:r>
        <w:t xml:space="preserve">The Series A Preferred Shares will carry a one times (1x) non-participating liquidation preference. On a Liquidation Event the holders of Series A Preferred Shares will receive, in priority to the holders of Ordinary Shares, the greater of (i) the Series A Issue Price plus any declared but unpaid dividends, and (ii) the amount they would have received had the Series A Preferred Shares converted into Ordinary Shares immediately prior to the Liquidation Event.</w:t>
      </w:r>
    </w:p>
    <w:p>
      <w:pPr>
        <w:tabs>
          <w:tab w:val="left" w:pos="720"/>
        </w:tabs>
        <w:spacing w:after="80" w:before="160"/>
      </w:pPr>
      <w:r>
        <w:rPr>
          <w:b/>
          <w:bCs/>
        </w:rPr>
        <w:t xml:space="preserve">2	</w:t>
      </w:r>
      <w:r>
        <w:rPr>
          <w:b/>
          <w:bCs/>
        </w:rPr>
        <w:t xml:space="preserve">Anti-dilution</w:t>
      </w:r>
    </w:p>
    <w:p>
      <w:pPr>
        <w:spacing w:after="120" w:line="276"/>
        <w:ind w:left="720"/>
      </w:pPr>
      <w:r>
        <w:t xml:space="preserve">Broad-based weighted average anti-dilution protection on a Down Round, with customary carve-outs (issues under the Option Pool, on conversion of the Series A Preferred Shares, on a bona fide acquisition, and pursuant to equipment financing or banking arrangements approved by the Investor Director).</w:t>
      </w:r>
    </w:p>
    <w:p>
      <w:pPr>
        <w:tabs>
          <w:tab w:val="left" w:pos="720"/>
        </w:tabs>
        <w:spacing w:after="80" w:before="160"/>
      </w:pPr>
      <w:r>
        <w:rPr>
          <w:b/>
          <w:bCs/>
        </w:rPr>
        <w:t xml:space="preserve">3	</w:t>
      </w:r>
      <w:r>
        <w:rPr>
          <w:b/>
          <w:bCs/>
        </w:rPr>
        <w:t xml:space="preserve">Conversion</w:t>
      </w:r>
    </w:p>
    <w:p>
      <w:pPr>
        <w:spacing w:after="120" w:line="276"/>
        <w:ind w:left="720"/>
      </w:pPr>
      <w:r>
        <w:t xml:space="preserve">Each Series A Preferred Share converts into one Ordinary Share (subject to adjustment) at the option of the holder, and automatically on a Qualifying IPO or on the written election of holders of a majority of the Series A Preferred Shares.</w:t>
      </w:r>
    </w:p>
    <w:p>
      <w:pPr>
        <w:tabs>
          <w:tab w:val="left" w:pos="720"/>
        </w:tabs>
        <w:spacing w:after="80" w:before="160"/>
      </w:pPr>
      <w:r>
        <w:rPr>
          <w:b/>
          <w:bCs/>
        </w:rPr>
        <w:t xml:space="preserve">4	</w:t>
      </w:r>
      <w:r>
        <w:rPr>
          <w:b/>
          <w:bCs/>
        </w:rPr>
        <w:t xml:space="preserve">Dividends</w:t>
      </w:r>
    </w:p>
    <w:p>
      <w:pPr>
        <w:spacing w:after="120" w:line="276"/>
        <w:ind w:left="720"/>
      </w:pPr>
      <w:r>
        <w:t xml:space="preserve">The Series A Preferred Shares carry a non-cumulative preferential dividend of 6% per annum on the Series A Issue Price, payable only if and when declared by the Board (with Investor Majority consent). The Company does not intend to declare dividends during the life of the investment.</w:t>
      </w:r>
    </w:p>
    <w:p>
      <w:pPr>
        <w:tabs>
          <w:tab w:val="left" w:pos="720"/>
        </w:tabs>
        <w:spacing w:after="80" w:before="160"/>
      </w:pPr>
      <w:r>
        <w:rPr>
          <w:b/>
          <w:bCs/>
        </w:rPr>
        <w:t xml:space="preserve">5	</w:t>
      </w:r>
      <w:r>
        <w:rPr>
          <w:b/>
          <w:bCs/>
        </w:rPr>
        <w:t xml:space="preserve">Board composition</w:t>
      </w:r>
    </w:p>
    <w:p>
      <w:pPr>
        <w:spacing w:after="120" w:line="276"/>
        <w:ind w:left="720"/>
      </w:pPr>
      <w:r>
        <w:t xml:space="preserve">The Board will comprise up to five directors: two Founder Directors, the Investor Director appointed by the Lead Investor (initially Aisha Chowdhury), one further executive director, and one independent Non-Executive Chair to be appointed within six months of Completion with Investor Majority consent. The Lead Investor may appoint one Observer.</w:t>
      </w:r>
    </w:p>
    <w:p>
      <w:pPr>
        <w:tabs>
          <w:tab w:val="left" w:pos="720"/>
        </w:tabs>
        <w:spacing w:after="80" w:before="160"/>
      </w:pPr>
      <w:r>
        <w:rPr>
          <w:b/>
          <w:bCs/>
        </w:rPr>
        <w:t xml:space="preserve">6	</w:t>
      </w:r>
      <w:r>
        <w:rPr>
          <w:b/>
          <w:bCs/>
        </w:rPr>
        <w:t xml:space="preserve">Investor consent matters</w:t>
      </w:r>
    </w:p>
    <w:p>
      <w:pPr>
        <w:spacing w:after="120" w:line="276"/>
        <w:ind w:left="720"/>
      </w:pPr>
      <w:r>
        <w:t xml:space="preserve">Customary Investor Majority and Investor Director consent rights, including over: alteration of share capital or rights; new share issues senior to or pari passu with the Series A Preferred Shares; borrowings above £500,000; any sale, IPO or winding-up; acquisitions or disposals above £250,000; the annual budget; related-party transactions; and changes to the size or composition of the Board. The full list is set out in Part 2 of the Schedule.</w:t>
      </w:r>
    </w:p>
    <w:p>
      <w:pPr>
        <w:tabs>
          <w:tab w:val="left" w:pos="720"/>
        </w:tabs>
        <w:spacing w:after="80" w:before="160"/>
      </w:pPr>
      <w:r>
        <w:rPr>
          <w:b/>
          <w:bCs/>
        </w:rPr>
        <w:t xml:space="preserve">7	</w:t>
      </w:r>
      <w:r>
        <w:rPr>
          <w:b/>
          <w:bCs/>
        </w:rPr>
        <w:t xml:space="preserve">Information rights</w:t>
      </w:r>
    </w:p>
    <w:p>
      <w:pPr>
        <w:spacing w:after="120" w:line="276"/>
        <w:ind w:left="720"/>
      </w:pPr>
      <w:r>
        <w:t xml:space="preserve">Monthly management accounts within 20 business days of month-end; an annual budget for Investor approval not less than 30 days before the start of each financial year; audited accounts within four months of year-end; and reasonable access to the Company’s books, records and management.</w:t>
      </w:r>
    </w:p>
    <w:p>
      <w:pPr>
        <w:tabs>
          <w:tab w:val="left" w:pos="720"/>
        </w:tabs>
        <w:spacing w:after="80" w:before="160"/>
      </w:pPr>
      <w:r>
        <w:rPr>
          <w:b/>
          <w:bCs/>
        </w:rPr>
        <w:t xml:space="preserve">8	</w:t>
      </w:r>
      <w:r>
        <w:rPr>
          <w:b/>
          <w:bCs/>
        </w:rPr>
        <w:t xml:space="preserve">Pre-emption, transfers and exit</w:t>
      </w:r>
    </w:p>
    <w:p>
      <w:pPr>
        <w:spacing w:after="120" w:line="276"/>
        <w:ind w:left="720"/>
      </w:pPr>
      <w:r>
        <w:t xml:space="preserve">Pro-rata pre-emption rights on new issues and on transfers; customary rights of first refusal, co-sale (tag-along) and drag-along (on a sale approved by holders of a majority of each class and the Board); and a good faith obligation on the Board to pursue an Exit within five to seven years.</w:t>
      </w:r>
    </w:p>
    <w:p>
      <w:pPr>
        <w:tabs>
          <w:tab w:val="left" w:pos="720"/>
        </w:tabs>
        <w:spacing w:after="80" w:before="160"/>
      </w:pPr>
      <w:r>
        <w:rPr>
          <w:b/>
          <w:bCs/>
        </w:rPr>
        <w:t xml:space="preserve">9	</w:t>
      </w:r>
      <w:r>
        <w:rPr>
          <w:b/>
          <w:bCs/>
        </w:rPr>
        <w:t xml:space="preserve">Founder arrangements</w:t>
      </w:r>
    </w:p>
    <w:p>
      <w:pPr>
        <w:spacing w:after="120" w:line="276"/>
        <w:ind w:left="720"/>
      </w:pPr>
      <w:r>
        <w:t xml:space="preserve">Dr Alice Wren and Dr Sanjay Rao (the “Founders”) will enter into amended service agreements and reverse-vesting/leaver provisions over their Ordinary Shares (four-year straight-line vesting with a 12-month cliff measured from each Founder’s original start date, with good-leaver/bad-leaver treatment) and 12-month post-termination non-compete and non-solicit covenants.</w:t>
      </w:r>
    </w:p>
    <w:p>
      <w:pPr>
        <w:tabs>
          <w:tab w:val="left" w:pos="720"/>
        </w:tabs>
        <w:spacing w:after="80" w:before="160"/>
      </w:pPr>
      <w:r>
        <w:rPr>
          <w:b/>
          <w:bCs/>
        </w:rPr>
        <w:t xml:space="preserve">10	</w:t>
      </w:r>
      <w:r>
        <w:rPr>
          <w:b/>
          <w:bCs/>
        </w:rPr>
        <w:t xml:space="preserve">Warranties</w:t>
      </w:r>
    </w:p>
    <w:p>
      <w:pPr>
        <w:spacing w:after="120" w:line="276"/>
        <w:ind w:left="720"/>
      </w:pPr>
      <w:r>
        <w:t xml:space="preserve">The Company and the Founders will give customary business warranties on a several basis, qualified by a disclosure letter. The aggregate liability of the warrantors will be capped (in the case of the Company) at the amount invested and (in the case of each Founder) at £750,000, with a de minimis of £25,000 per claim and an aggregate threshold (basket) of £200,000.</w:t>
      </w:r>
    </w:p>
    <w:p>
      <w:pPr>
        <w:tabs>
          <w:tab w:val="left" w:pos="720"/>
        </w:tabs>
        <w:spacing w:after="80" w:before="160"/>
      </w:pPr>
      <w:r>
        <w:rPr>
          <w:b/>
          <w:bCs/>
        </w:rPr>
        <w:t xml:space="preserve">11	</w:t>
      </w:r>
      <w:r>
        <w:rPr>
          <w:b/>
          <w:bCs/>
        </w:rPr>
        <w:t xml:space="preserve">Conditions to Completion</w:t>
      </w:r>
    </w:p>
    <w:p>
      <w:pPr>
        <w:spacing w:after="120" w:line="276"/>
        <w:ind w:left="720"/>
      </w:pPr>
      <w:r>
        <w:t xml:space="preserve">Completion is conditional on: satisfactory completion of legal, financial, tax and technical due diligence; adoption of the Amended Articles; execution of the Investment Agreement, the Investors’ Rights Agreement and the Founder service agreements; delivery of the agreed disclosure letter; and receipt of all necessary Board and shareholder approvals.</w:t>
      </w:r>
    </w:p>
    <w:p>
      <w:pPr>
        <w:tabs>
          <w:tab w:val="left" w:pos="720"/>
        </w:tabs>
        <w:spacing w:after="80" w:before="160"/>
      </w:pPr>
      <w:r>
        <w:rPr>
          <w:b/>
          <w:bCs/>
        </w:rPr>
        <w:t xml:space="preserve">12	</w:t>
      </w:r>
      <w:r>
        <w:rPr>
          <w:b/>
          <w:bCs/>
        </w:rPr>
        <w:t xml:space="preserve">Founder and management lock-in</w:t>
      </w:r>
    </w:p>
    <w:p>
      <w:pPr>
        <w:spacing w:after="120" w:line="276"/>
        <w:ind w:left="720"/>
      </w:pPr>
      <w:r>
        <w:t xml:space="preserve">The Founders and senior management will be subject to leaver provisions and the restrictive covenants referred to above for so long as they hold shares and for 12 months thereafter.</w:t>
      </w:r>
    </w:p>
    <w:p>
      <w:pPr>
        <w:tabs>
          <w:tab w:val="left" w:pos="720"/>
        </w:tabs>
        <w:spacing w:after="80" w:before="160"/>
      </w:pPr>
      <w:r>
        <w:rPr>
          <w:b/>
          <w:bCs/>
        </w:rPr>
        <w:t xml:space="preserve">13	</w:t>
      </w:r>
      <w:r>
        <w:rPr>
          <w:b/>
          <w:bCs/>
        </w:rPr>
        <w:t xml:space="preserve">Costs</w:t>
      </w:r>
    </w:p>
    <w:p>
      <w:pPr>
        <w:spacing w:after="120" w:line="276"/>
        <w:ind w:left="720"/>
      </w:pPr>
      <w:r>
        <w:t xml:space="preserve">The Company will bear its own costs and the reasonable legal and due diligence costs of the Lead Investor up to a cap of £60,000 (plus VAT and disbursements), payable on Completion or, if Completion does not occur otherwise than as a result of the Investors’ default, up to £25,000 (plus VAT).</w:t>
      </w:r>
    </w:p>
    <w:p>
      <w:r>
        <w:br w:type="page"/>
      </w:r>
    </w:p>
    <w:p>
      <w:pPr>
        <w:pStyle w:val="Heading1"/>
      </w:pPr>
      <w:r>
        <w:t xml:space="preserve">Part C — Binding Provisions</w:t>
      </w:r>
    </w:p>
    <w:p>
      <w:pPr>
        <w:spacing w:after="120" w:line="276"/>
      </w:pPr>
      <w:r>
        <w:t xml:space="preserve">Paragraphs 14 to 18 are intended to create legal relations and are binding on the parties.</w:t>
      </w:r>
    </w:p>
    <w:p>
      <w:pPr>
        <w:tabs>
          <w:tab w:val="left" w:pos="720"/>
        </w:tabs>
        <w:spacing w:after="80" w:before="160"/>
      </w:pPr>
      <w:r>
        <w:rPr>
          <w:b/>
          <w:bCs/>
        </w:rPr>
        <w:t xml:space="preserve">14	</w:t>
      </w:r>
      <w:r>
        <w:rPr>
          <w:b/>
          <w:bCs/>
        </w:rPr>
        <w:t xml:space="preserve">Exclusivity</w:t>
      </w:r>
    </w:p>
    <w:p>
      <w:pPr>
        <w:spacing w:after="120" w:line="276"/>
        <w:ind w:left="720"/>
      </w:pPr>
      <w:r>
        <w:t xml:space="preserve">From the date of this Term Sheet until the earlier of (i) Completion and (ii) 8 May 2026 (the “Exclusivity Period”), the Company and the Founders will not, and will procure that their respective advisers do not, directly or indirectly solicit, initiate or encourage any offer or proposal from, or enter into any discussions or agreement with, any third party in relation to any equity or debt financing, sale or other disposal of any material part of the business or shares of the Company.</w:t>
      </w:r>
    </w:p>
    <w:p>
      <w:pPr>
        <w:tabs>
          <w:tab w:val="left" w:pos="720"/>
        </w:tabs>
        <w:spacing w:after="80" w:before="160"/>
      </w:pPr>
      <w:r>
        <w:rPr>
          <w:b/>
          <w:bCs/>
        </w:rPr>
        <w:t xml:space="preserve">15	</w:t>
      </w:r>
      <w:r>
        <w:rPr>
          <w:b/>
          <w:bCs/>
        </w:rPr>
        <w:t xml:space="preserve">Confidentiality</w:t>
      </w:r>
    </w:p>
    <w:p>
      <w:pPr>
        <w:spacing w:after="120" w:line="276"/>
        <w:ind w:left="720"/>
      </w:pPr>
      <w:r>
        <w:t xml:space="preserve">Each party will keep confidential the existence and terms of this Term Sheet and all information disclosed in connection with the proposed investment, save as required by law or to its professional advisers, and otherwise in accordance with the confidentiality agreement between the parties dated 16 January 2026.</w:t>
      </w:r>
    </w:p>
    <w:p>
      <w:pPr>
        <w:tabs>
          <w:tab w:val="left" w:pos="720"/>
        </w:tabs>
        <w:spacing w:after="80" w:before="160"/>
      </w:pPr>
      <w:r>
        <w:rPr>
          <w:b/>
          <w:bCs/>
        </w:rPr>
        <w:t xml:space="preserve">16	</w:t>
      </w:r>
      <w:r>
        <w:rPr>
          <w:b/>
          <w:bCs/>
        </w:rPr>
        <w:t xml:space="preserve">Costs (binding)</w:t>
      </w:r>
    </w:p>
    <w:p>
      <w:pPr>
        <w:spacing w:after="120" w:line="276"/>
        <w:ind w:left="720"/>
      </w:pPr>
      <w:r>
        <w:t xml:space="preserve">Paragraph 13 is binding to the extent it provides for the Company to bear the Lead Investor’s abort costs.</w:t>
      </w:r>
    </w:p>
    <w:p>
      <w:pPr>
        <w:tabs>
          <w:tab w:val="left" w:pos="720"/>
        </w:tabs>
        <w:spacing w:after="80" w:before="160"/>
      </w:pPr>
      <w:r>
        <w:rPr>
          <w:b/>
          <w:bCs/>
        </w:rPr>
        <w:t xml:space="preserve">17	</w:t>
      </w:r>
      <w:r>
        <w:rPr>
          <w:b/>
          <w:bCs/>
        </w:rPr>
        <w:t xml:space="preserve">Governing law and jurisdiction</w:t>
      </w:r>
    </w:p>
    <w:p>
      <w:pPr>
        <w:spacing w:after="120" w:line="276"/>
        <w:ind w:left="720"/>
      </w:pPr>
      <w:r>
        <w:t xml:space="preserve">This Term Sheet and any dispute arising out of it are governed by English law, and the parties submit to the exclusive jurisdiction of the courts of England and Wales.</w:t>
      </w:r>
    </w:p>
    <w:p>
      <w:pPr>
        <w:tabs>
          <w:tab w:val="left" w:pos="720"/>
        </w:tabs>
        <w:spacing w:after="80" w:before="160"/>
      </w:pPr>
      <w:r>
        <w:rPr>
          <w:b/>
          <w:bCs/>
        </w:rPr>
        <w:t xml:space="preserve">18	</w:t>
      </w:r>
      <w:r>
        <w:rPr>
          <w:b/>
          <w:bCs/>
        </w:rPr>
        <w:t xml:space="preserve">Term</w:t>
      </w:r>
    </w:p>
    <w:p>
      <w:pPr>
        <w:spacing w:after="120" w:line="276"/>
        <w:ind w:left="720"/>
      </w:pPr>
      <w:r>
        <w:t xml:space="preserve">This Term Sheet will lapse automatically if not signed by all parties by 13 February 2026 or if Completion has not occurred by the end of the Exclusivity Period (as it may be extended by written agreement of the Lead Investor and the Company).</w:t>
      </w:r>
    </w:p>
    <w:p>
      <w:pPr>
        <w:spacing w:after="120" w:before="240"/>
      </w:pPr>
      <w:r>
        <w:rPr>
          <w:b/>
          <w:bCs/>
        </w:rPr>
        <w:t xml:space="preserve">Signed for and on behalf of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c>
          <w:tcPr>
            <w:tcW w:type="dxa" w:w="3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Party</w:t>
            </w:r>
          </w:p>
        </w:tc>
        <w:tc>
          <w:tcPr>
            <w:tcW w:type="dxa" w:w="2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Signature</w:t>
            </w:r>
          </w:p>
        </w:tc>
        <w:tc>
          <w:tcPr>
            <w:tcW w:type="dxa" w:w="29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Name / Date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Larkmoor Bioscience Limited</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c>
          <w:tcPr>
            <w:tcW w:type="dxa" w:w="29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 Director · 9 Feb 2026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 (Founder)</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c>
          <w:tcPr>
            <w:tcW w:type="dxa" w:w="29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____________________</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 (Founder)</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c>
          <w:tcPr>
            <w:tcW w:type="dxa" w:w="29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____________________</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c>
          <w:tcPr>
            <w:tcW w:type="dxa" w:w="29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Victor Underwood, Managing Partner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c>
          <w:tcPr>
            <w:tcW w:type="dxa" w:w="29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Robert Aldridge, Managing Partner</w:t>
            </w:r>
          </w:p>
        </w:tc>
      </w:tr>
    </w:tbl>
    <w:p>
      <w:r>
        <w:br w:type="page"/>
      </w:r>
    </w:p>
    <w:p>
      <w:pPr>
        <w:pStyle w:val="Heading1"/>
      </w:pPr>
      <w:r>
        <w:t xml:space="preserve">Schedule</w:t>
      </w:r>
    </w:p>
    <w:p>
      <w:pPr>
        <w:pStyle w:val="Heading2"/>
      </w:pPr>
      <w:r>
        <w:t xml:space="preserve">Part 1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1726"/>
      </w:tblGrid>
      <w:tr>
        <w:tc>
          <w:tcPr>
            <w:tcW w:type="dxa" w:w="35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Investor</w:t>
            </w:r>
          </w:p>
        </w:tc>
        <w:tc>
          <w:tcPr>
            <w:tcW w:type="dxa" w:w="1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Commitment (£)</w:t>
            </w:r>
          </w:p>
        </w:tc>
        <w:tc>
          <w:tcPr>
            <w:tcW w:type="dxa" w:w="1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Series A Shares</w:t>
            </w:r>
          </w:p>
        </w:tc>
        <w:tc>
          <w:tcPr>
            <w:tcW w:type="dxa" w:w="17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 of fully diluted (post)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25.0%</w:t>
            </w:r>
          </w:p>
        </w:tc>
      </w:tr>
    </w:tbl>
    <w:p>
      <w:pPr>
        <w:spacing w:after="120" w:line="276"/>
      </w:pPr>
      <w:r>
        <w:t xml:space="preserve"/>
      </w:r>
    </w:p>
    <w:p>
      <w:pPr>
        <w:pStyle w:val="Heading2"/>
      </w:pPr>
      <w:r>
        <w:t xml:space="preserve">Part 2 — Investor Consent Matters (summary)</w:t>
      </w:r>
    </w:p>
    <w:p>
      <w:pPr>
        <w:pStyle w:val="ListParagraph"/>
        <w:numPr>
          <w:ilvl w:val="0"/>
          <w:numId w:val="2"/>
        </w:numPr>
        <w:spacing w:after="80"/>
      </w:pPr>
      <w:r>
        <w:t xml:space="preserve">altering the Company’s share capital, or the rights attaching to any class of shares, or the Articles;</w:t>
      </w:r>
    </w:p>
    <w:p>
      <w:pPr>
        <w:pStyle w:val="ListParagraph"/>
        <w:numPr>
          <w:ilvl w:val="0"/>
          <w:numId w:val="2"/>
        </w:numPr>
        <w:spacing w:after="80"/>
      </w:pPr>
      <w:r>
        <w:t xml:space="preserve">issuing or allotting shares, options or other securities (save under the approved Option Pool);</w:t>
      </w:r>
    </w:p>
    <w:p>
      <w:pPr>
        <w:pStyle w:val="ListParagraph"/>
        <w:numPr>
          <w:ilvl w:val="0"/>
          <w:numId w:val="2"/>
        </w:numPr>
        <w:spacing w:after="80"/>
      </w:pPr>
      <w:r>
        <w:t xml:space="preserve">any borrowing, guarantee or indemnity in excess of £500,000 in aggregate;</w:t>
      </w:r>
    </w:p>
    <w:p>
      <w:pPr>
        <w:pStyle w:val="ListParagraph"/>
        <w:numPr>
          <w:ilvl w:val="0"/>
          <w:numId w:val="2"/>
        </w:numPr>
        <w:spacing w:after="80"/>
      </w:pPr>
      <w:r>
        <w:t xml:space="preserve">any acquisition or disposal of assets or a business with a value exceeding £250,000;</w:t>
      </w:r>
    </w:p>
    <w:p>
      <w:pPr>
        <w:pStyle w:val="ListParagraph"/>
        <w:numPr>
          <w:ilvl w:val="0"/>
          <w:numId w:val="2"/>
        </w:numPr>
        <w:spacing w:after="80"/>
      </w:pPr>
      <w:r>
        <w:t xml:space="preserve">approving or materially amending the annual budget or business plan;</w:t>
      </w:r>
    </w:p>
    <w:p>
      <w:pPr>
        <w:pStyle w:val="ListParagraph"/>
        <w:numPr>
          <w:ilvl w:val="0"/>
          <w:numId w:val="2"/>
        </w:numPr>
        <w:spacing w:after="80"/>
      </w:pPr>
      <w:r>
        <w:t xml:space="preserve">entering into any contract outside the ordinary course or any related-party transaction;</w:t>
      </w:r>
    </w:p>
    <w:p>
      <w:pPr>
        <w:pStyle w:val="ListParagraph"/>
        <w:numPr>
          <w:ilvl w:val="0"/>
          <w:numId w:val="2"/>
        </w:numPr>
        <w:spacing w:after="80"/>
      </w:pPr>
      <w:r>
        <w:t xml:space="preserve">appointing or removing directors, or changing the size or composition of the Board;</w:t>
      </w:r>
    </w:p>
    <w:p>
      <w:pPr>
        <w:pStyle w:val="ListParagraph"/>
        <w:numPr>
          <w:ilvl w:val="0"/>
          <w:numId w:val="2"/>
        </w:numPr>
        <w:spacing w:after="80"/>
      </w:pPr>
      <w:r>
        <w:t xml:space="preserve">commencing or settling material litigation, or any winding-up, IPO, sale or material reorganisation;</w:t>
      </w:r>
    </w:p>
    <w:p>
      <w:pPr>
        <w:pStyle w:val="ListParagraph"/>
        <w:numPr>
          <w:ilvl w:val="0"/>
          <w:numId w:val="2"/>
        </w:numPr>
        <w:spacing w:after="80"/>
      </w:pPr>
      <w:r>
        <w:t xml:space="preserve">changing the Company’s auditors, accounting reference date or accounting policies; and</w:t>
      </w:r>
    </w:p>
    <w:p>
      <w:pPr>
        <w:pStyle w:val="ListParagraph"/>
        <w:numPr>
          <w:ilvl w:val="0"/>
          <w:numId w:val="2"/>
        </w:numPr>
        <w:spacing w:after="80"/>
      </w:pPr>
      <w:r>
        <w:t xml:space="preserve">adopting or amending any employee share or incentive scheme.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Term Sheet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Term Sheet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2026-06-26T01:24:21.625Z</dcterms:created>
  <dcterms:modified xsi:type="dcterms:W3CDTF">2026-06-26T01:24:21.625Z</dcterms:modified>
</cp:coreProperties>
</file>

<file path=docProps/custom.xml><?xml version="1.0" encoding="utf-8"?>
<Properties xmlns="http://schemas.openxmlformats.org/officeDocument/2006/custom-properties" xmlns:vt="http://schemas.openxmlformats.org/officeDocument/2006/docPropsVTypes"/>
</file>