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sz w:val="20"/>
          <w:szCs w:val="20"/>
        </w:rPr>
        <w:t xml:space="preserve">Company Number 11820447</w:t>
      </w:r>
    </w:p>
    <w:p>
      <w:pPr>
        <w:jc w:val="center"/>
      </w:pPr>
      <w:r>
        <w:rPr>
          <w:b/>
          <w:bCs/>
          <w:sz w:val="22"/>
          <w:szCs w:val="22"/>
        </w:rPr>
        <w:t xml:space="preserve">THE COMPANIES ACT 2006</w:t>
      </w:r>
    </w:p>
    <w:p>
      <w:pPr>
        <w:jc w:val="center"/>
      </w:pPr>
      <w:r>
        <w:rPr>
          <w:sz w:val="20"/>
          <w:szCs w:val="20"/>
        </w:rPr>
        <w:t xml:space="preserve">PRIVATE COMPANY LIMITED BY SHARES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AMENDED AND RESTATED ARTICLES OF ASSOCIATION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of LARKMOOR BIOSCIENCE LIMITED</w:t>
      </w:r>
    </w:p>
    <w:p>
      <w:pPr>
        <w:spacing w:after="200"/>
        <w:jc w:val="center"/>
      </w:pPr>
      <w:r>
        <w:rPr>
          <w:i/>
          <w:iCs/>
          <w:sz w:val="19"/>
          <w:szCs w:val="19"/>
        </w:rPr>
        <w:t xml:space="preserve">(adopted by special resolution passed on 12 September 2025)</w:t>
      </w:r>
    </w:p>
    <w:p>
      <w:pPr>
        <w:pStyle w:val="Heading1"/>
      </w:pPr>
      <w:r>
        <w:t xml:space="preserve">1. Preliminary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model articles for private companies limited by shares do not apply to the Company. These Articles are the articles of association of the Company.</w:t>
      </w:r>
    </w:p>
    <w:p>
      <w:pPr>
        <w:pStyle w:val="Heading1"/>
      </w:pPr>
      <w:r>
        <w:t xml:space="preserve">2. Share capital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share capital of the Company comprises Ordinary Shares of £0.001 each and Series A Preferred Shares of £0.001 each, having the rights and being subject to the restrictions set out in these Articles.</w:t>
      </w:r>
    </w:p>
    <w:p>
      <w:pPr>
        <w:pStyle w:val="Heading1"/>
      </w:pPr>
      <w:r>
        <w:t xml:space="preserve">3. Rights attaching to the Series A Preferred Shares</w:t>
      </w:r>
    </w:p>
    <w:p>
      <w:pPr>
        <w:pStyle w:val="Heading2"/>
      </w:pPr>
      <w:r>
        <w:t xml:space="preserve">3.1 Dividends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Series A Preferred Shares carry no fixed dividend but rank pari passu with the Ordinary Shares in respect of any dividend declared, on an as-converted basis.</w:t>
      </w:r>
    </w:p>
    <w:p>
      <w:pPr>
        <w:pStyle w:val="Heading2"/>
      </w:pPr>
      <w:r>
        <w:t xml:space="preserve">3.2 Liquidation preference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a return of assets on liquidation, reduction of capital or otherwise, the holders of Series A Preferred Shares shall be entitled, in priority to the holders of Ordinary Shares, to receive an amount equal to the subscription price paid for those shares (being £4.00 per share), being a 1x non-participating liquidation preference, after which they shall not participate further save on conversion.</w:t>
      </w:r>
    </w:p>
    <w:p>
      <w:pPr>
        <w:pStyle w:val="Heading2"/>
      </w:pPr>
      <w:r>
        <w:t xml:space="preserve">3.3 Voting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Series A Preferred Share and each Ordinary Share carries one vote on a poll at general meetings.</w:t>
      </w:r>
    </w:p>
    <w:p>
      <w:pPr>
        <w:pStyle w:val="Heading2"/>
      </w:pPr>
      <w:r>
        <w:t xml:space="preserve">3.4 Conversion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Series A Preferred Share shall convert into one Ordinary Share (subject to anti-dilution adjustment) at the option of the holder at any time, and automatically on a Qualifying IPO or on the election of an Investor Majority.</w:t>
      </w:r>
    </w:p>
    <w:p>
      <w:pPr>
        <w:pStyle w:val="Heading2"/>
      </w:pPr>
      <w:r>
        <w:t xml:space="preserve">3.5 Anti-dilution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an issue of shares at a price below the original subscription price, the conversion rate of the Series A Preferred Shares shall be adjusted on a broad-based weighted average basis.</w:t>
      </w:r>
    </w:p>
    <w:p>
      <w:pPr>
        <w:pStyle w:val="Heading1"/>
      </w:pPr>
      <w:r>
        <w:t xml:space="preserve">4. Transfer of shares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share may be transferred otherwise than in accordance with the pre-emption, tag-along and drag-along provisions of these Articles and the Investor Rights Agreement. The directors may decline to register any transfer not made in accordance with these Articles.</w:t>
      </w:r>
    </w:p>
    <w:p>
      <w:pPr>
        <w:pStyle w:val="Heading1"/>
      </w:pPr>
      <w:r>
        <w:t xml:space="preserve">5. Pre-emption on new issues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Save in respect of Permitted Issues, new shares shall first be offered to existing members pro rata on an as-converted basis.</w:t>
      </w:r>
    </w:p>
    <w:p>
      <w:pPr>
        <w:pStyle w:val="Heading1"/>
      </w:pPr>
      <w:r>
        <w:t xml:space="preserve">6. Directors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Investor shall be entitled to appoint one director (the Investor Director) and one observer for so long as it holds not less than 10% of the Series A Preferred Shares. The maximum number of directors is five.</w:t>
      </w:r>
    </w:p>
    <w:p>
      <w:pPr>
        <w:pStyle w:val="Heading1"/>
      </w:pPr>
      <w:r>
        <w:t xml:space="preserve">7. Consent matters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matters listed in the Investor Rights Agreement and the Subscription and Shareholders’ Agreement shall not be undertaken without the consent of an Investor Majority.</w:t>
      </w:r>
    </w:p>
    <w:p>
      <w:pPr>
        <w:pStyle w:val="Heading1"/>
      </w:pPr>
      <w:r>
        <w:t xml:space="preserve">8. Drag-along and tag-along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drag-along and tag-along provisions operate as set out in the Investor Rights Agreement, and these Articles shall be read consistently with that agreement; in the event of conflict, the Subscription and Shareholders’ Agreement prevails as between the parties to it.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tabs>
        <w:tab w:val="right" w:pos="9026"/>
      </w:tabs>
    </w:pPr>
    <w:r>
      <w:rPr>
        <w:color w:val="808080"/>
        <w:sz w:val="14"/>
        <w:szCs w:val="14"/>
      </w:rPr>
      <w:t xml:space="preserve">Adopted by special resolution — Larkmoor Bioscience Limited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3864"/>
        <w:sz w:val="22"/>
        <w:szCs w:val="22"/>
      </w:rPr>
      <w:t xml:space="preserve">Whitfield Carter LLP</w:t>
    </w:r>
  </w:p>
  <w:p>
    <w:pPr>
      <w:pBdr>
        <w:bottom w:val="single" w:color="1F3864" w:sz="6" w:space="4"/>
      </w:pBdr>
      <w:spacing w:after="180"/>
      <w:jc w:val="right"/>
    </w:pPr>
    <w:r>
      <w:rPr>
        <w:color w:val="595959"/>
        <w:sz w:val="15"/>
        <w:szCs w:val="15"/>
      </w:rPr>
      <w:t xml:space="preserve">22 Bishopsgate, London EC2N 4BQ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Arial" w:cs="Arial" w:eastAsia="Arial" w:hAnsi="Arial"/>
      <w:b/>
      <w:bCs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70" w:before="15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2026-06-27T19:32:54.870Z</dcterms:created>
  <dcterms:modified xsi:type="dcterms:W3CDTF">2026-06-27T19:32:54.870Z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