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t xml:space="preserve">12 September 2025</w:t>
      </w:r>
    </w:p>
    <w:p>
      <w:pPr>
        <w:spacing w:after="110"/>
      </w:pPr>
      <w:r>
        <w:t xml:space="preserve">To: Ardent Ventures LLP, 30 Finsbury Square, London EC2A 1AG</w:t>
      </w:r>
    </w:p>
    <w:p>
      <w:pPr>
        <w:spacing w:after="110"/>
      </w:pPr>
      <w:r>
        <w:t xml:space="preserve">From: Larkmoor Bioscience Limited and the Founders (together, the “Warrantors”)</w:t>
      </w:r>
    </w:p>
    <w:p>
      <w:pPr>
        <w:spacing w:after="110"/>
      </w:pPr>
      <w:r>
        <w:t xml:space="preserve"/>
      </w:r>
    </w:p>
    <w:p>
      <w:pPr>
        <w:spacing w:after="110"/>
      </w:pPr>
      <w:r>
        <w:rPr>
          <w:b/>
          <w:bCs/>
        </w:rPr>
        <w:t xml:space="preserve">Dear Sirs</w:t>
      </w:r>
    </w:p>
    <w:p>
      <w:pPr>
        <w:spacing w:after="110"/>
      </w:pPr>
      <w:r>
        <w:rPr>
          <w:b/>
          <w:bCs/>
        </w:rPr>
        <w:t xml:space="preserve">Project Solstice — Disclosure Letter</w:t>
      </w:r>
    </w:p>
    <w:p>
      <w:pPr>
        <w:spacing w:after="110"/>
      </w:pPr>
      <w:r>
        <w:t xml:space="preserve">This is the Disclosure Letter referred to in the Subscription and Shareholders’ Agreement of today’s date relating to the Series A investment in Larkmoor Bioscience Limited (the “Agreement”). Words and expressions defined in the Agreement have the same meaning in this letter.</w:t>
      </w:r>
    </w:p>
    <w:p>
      <w:pPr>
        <w:pStyle w:val="Heading1"/>
      </w:pPr>
      <w:r>
        <w:t xml:space="preserve">1. General</w:t>
      </w:r>
    </w:p>
    <w:p>
      <w:pPr>
        <w:pStyle w:val="ListParagraph"/>
        <w:numPr>
          <w:ilvl w:val="0"/>
          <w:numId w:val="2"/>
        </w:numPr>
        <w:spacing w:after="100"/>
      </w:pPr>
      <w:r>
        <w:t xml:space="preserve">The Warranties are given subject to the matters disclosed in this letter. The Investor shall not be entitled to claim that any matter fairly disclosed in this letter (including the documents in the data room listed in the Schedule) constitutes a breach of the Warranties.</w:t>
      </w:r>
    </w:p>
    <w:p>
      <w:pPr>
        <w:pStyle w:val="ListParagraph"/>
        <w:numPr>
          <w:ilvl w:val="0"/>
          <w:numId w:val="2"/>
        </w:numPr>
        <w:spacing w:after="100"/>
      </w:pPr>
      <w:r>
        <w:t xml:space="preserve">Disclosure of any matter is not an admission that it is material, nor does it expand the scope of any Warranty.</w:t>
      </w:r>
    </w:p>
    <w:p>
      <w:pPr>
        <w:pStyle w:val="ListParagraph"/>
        <w:numPr>
          <w:ilvl w:val="0"/>
          <w:numId w:val="2"/>
        </w:numPr>
        <w:spacing w:after="100"/>
      </w:pPr>
      <w:r>
        <w:t xml:space="preserve">This letter is to be read together with the contents of the online data room hosted at the Company’s virtual data room as at 5.00 p.m. on 10 September 2025, an index of which is annexed.</w:t>
      </w:r>
    </w:p>
    <w:p>
      <w:pPr>
        <w:pStyle w:val="Heading1"/>
      </w:pPr>
      <w:r>
        <w:t xml:space="preserve">2. General disclosures</w:t>
      </w:r>
    </w:p>
    <w:p>
      <w:pPr>
        <w:pStyle w:val="ListParagraph"/>
        <w:numPr>
          <w:ilvl w:val="0"/>
          <w:numId w:val="2"/>
        </w:numPr>
        <w:spacing w:after="100"/>
      </w:pPr>
      <w:r>
        <w:t xml:space="preserve">Matters which would be revealed by a search at Companies House, the Intellectual Property Office and HM Land Registry against the Company on or before the date of this letter are disclosed.</w:t>
      </w:r>
    </w:p>
    <w:p>
      <w:pPr>
        <w:pStyle w:val="ListParagraph"/>
        <w:numPr>
          <w:ilvl w:val="0"/>
          <w:numId w:val="2"/>
        </w:numPr>
        <w:spacing w:after="100"/>
      </w:pPr>
      <w:r>
        <w:t xml:space="preserve">All matters provided for or noted in the audited accounts for the year ended 31 December 2024 and the management accounts for the period ended 31 May 2025 are disclosed.</w:t>
      </w:r>
    </w:p>
    <w:p>
      <w:pPr>
        <w:pStyle w:val="Heading1"/>
      </w:pPr>
      <w:r>
        <w:t xml:space="preserve">3. Specific disclosures (by reference to the Warranties in Schedule 3)</w:t>
      </w:r>
    </w:p>
    <w:p>
      <w:pPr>
        <w:pStyle w:val="Heading2"/>
      </w:pPr>
      <w:r>
        <w:t xml:space="preserve">Warranty 3 (Intellectual property)</w:t>
      </w:r>
    </w:p>
    <w:p>
      <w:pPr>
        <w:pStyle w:val="ListParagraph"/>
        <w:numPr>
          <w:ilvl w:val="0"/>
          <w:numId w:val="2"/>
        </w:numPr>
        <w:spacing w:after="100"/>
      </w:pPr>
      <w:r>
        <w:t xml:space="preserve">The Company’s core patent family (PCT/GB2023/050412, “cell-free expression scaffold”) is at national phase entry stage in the EP, US and JP jurisdictions; the US examination has received a first office action dated 14 April 2025 raising obviousness objections, to which a response is being prepared. The patent is therefore granted in no jurisdiction as at the date of this letter.</w:t>
      </w:r>
    </w:p>
    <w:p>
      <w:pPr>
        <w:pStyle w:val="ListParagraph"/>
        <w:numPr>
          <w:ilvl w:val="0"/>
          <w:numId w:val="2"/>
        </w:numPr>
        <w:spacing w:after="100"/>
      </w:pPr>
      <w:r>
        <w:t xml:space="preserve">The Company licenses certain laboratory software from Brennan Instruments Ltd under a non-exclusive licence terminable on 90 days’ notice.</w:t>
      </w:r>
    </w:p>
    <w:p>
      <w:pPr>
        <w:pStyle w:val="Heading2"/>
      </w:pPr>
      <w:r>
        <w:t xml:space="preserve">Warranty 5 (Accounts / management accounts)</w:t>
      </w:r>
    </w:p>
    <w:p>
      <w:pPr>
        <w:pStyle w:val="ListParagraph"/>
        <w:numPr>
          <w:ilvl w:val="0"/>
          <w:numId w:val="2"/>
        </w:numPr>
        <w:spacing w:after="100"/>
      </w:pPr>
      <w:r>
        <w:t xml:space="preserve">The management accounts to 31 May 2025 show cash of £612,000 and a monthly net cash burn of approximately £190,000; the Company expects to require the Series A proceeds by early October 2025.</w:t>
      </w:r>
    </w:p>
    <w:p>
      <w:pPr>
        <w:pStyle w:val="Heading2"/>
      </w:pPr>
      <w:r>
        <w:t xml:space="preserve">Warranty 7 (Contracts)</w:t>
      </w:r>
    </w:p>
    <w:p>
      <w:pPr>
        <w:pStyle w:val="ListParagraph"/>
        <w:numPr>
          <w:ilvl w:val="0"/>
          <w:numId w:val="2"/>
        </w:numPr>
        <w:spacing w:after="100"/>
      </w:pPr>
      <w:r>
        <w:t xml:space="preserve">The Company has entered into a sponsored research agreement with the University of Cambridge dated 3 March 2024 under which the University retains certain background intellectual property; the agreement is disclosed in full in the data room (folder 4.2).</w:t>
      </w:r>
    </w:p>
    <w:p>
      <w:pPr>
        <w:pStyle w:val="Heading2"/>
      </w:pPr>
      <w:r>
        <w:t xml:space="preserve">Warranty 9 (Employees)</w:t>
      </w:r>
    </w:p>
    <w:p>
      <w:pPr>
        <w:pStyle w:val="ListParagraph"/>
        <w:numPr>
          <w:ilvl w:val="0"/>
          <w:numId w:val="2"/>
        </w:numPr>
        <w:spacing w:after="100"/>
      </w:pPr>
      <w:r>
        <w:t xml:space="preserve">One employee (the Head of Assay Development) is currently serving notice and will leave on 31 October 2025. A grievance raised by a former contractor in February 2025 was resolved without payment and is disclosed for completeness.</w:t>
      </w:r>
    </w:p>
    <w:p>
      <w:pPr>
        <w:pStyle w:val="Heading2"/>
      </w:pPr>
      <w:r>
        <w:t xml:space="preserve">Warranty 11 (Litigation)</w:t>
      </w:r>
    </w:p>
    <w:p>
      <w:pPr>
        <w:pStyle w:val="ListParagraph"/>
        <w:numPr>
          <w:ilvl w:val="0"/>
          <w:numId w:val="2"/>
        </w:numPr>
        <w:spacing w:after="100"/>
      </w:pPr>
      <w:r>
        <w:t xml:space="preserve">Save as disclosed in this letter, there is no litigation in progress or threatened. The Company received a letter of demand from a former supplier (Calderhall Labware) for £8,400 in disputed invoices in March 2025, which the Company disputes; no proceedings have been issued.</w:t>
      </w:r>
    </w:p>
    <w:p>
      <w:pPr>
        <w:pStyle w:val="Heading1"/>
      </w:pPr>
      <w:r>
        <w:t xml:space="preserve">4. Schedule — Data room index</w:t>
      </w:r>
    </w:p>
    <w:p>
      <w:pPr>
        <w:spacing w:after="110"/>
      </w:pPr>
      <w:r>
        <w:t xml:space="preserve">A full index of the data room is annexed to this letter and forms part of the disclosure. The principal folders are: 1. Corporate; 2. Cap table and options; 3. Accounts and management information; 4. Intellectual property; 5. Material contracts; 6. Employment; 7. Property; 8. Litigation and disputes.</w:t>
      </w:r>
    </w:p>
    <w:p>
      <w:pPr>
        <w:spacing w:after="110"/>
      </w:pPr>
      <w:r>
        <w:t xml:space="preserve"/>
      </w:r>
    </w:p>
    <w:p>
      <w:pPr>
        <w:spacing w:after="110"/>
      </w:pPr>
      <w:r>
        <w:t xml:space="preserve">Yours faithfully</w:t>
      </w:r>
    </w:p>
    <w:p>
      <w:pPr>
        <w:spacing w:after="110"/>
      </w:pPr>
      <w:r>
        <w:t xml:space="preserve">For and on behalf of Larkmoor Bioscience Limited and the Founders</w:t>
      </w:r>
    </w:p>
    <w:p>
      <w:pPr>
        <w:spacing w:after="110"/>
      </w:pPr>
      <w:r>
        <w:t xml:space="preserve">____________________  Dr Alice Wren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2"/>
        <w:szCs w:val="22"/>
      </w:rPr>
      <w:t xml:space="preserve">Whitfield Carter LLP</w:t>
    </w:r>
  </w:p>
  <w:p>
    <w:pPr>
      <w:pBdr>
        <w:bottom w:val="single" w:color="1F3864" w:sz="6" w:space="4"/>
      </w:pBdr>
      <w:spacing w:after="180"/>
      <w:jc w:val="right"/>
    </w:pPr>
    <w:r>
      <w:rPr>
        <w:color w:val="595959"/>
        <w:sz w:val="15"/>
        <w:szCs w:val="15"/>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lowerLetter"/>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Arial" w:cs="Arial" w:eastAsia="Arial" w:hAnsi="Arial"/>
      <w:b/>
      <w:bCs/>
      <w:sz w:val="25"/>
      <w:szCs w:val="25"/>
    </w:rPr>
  </w:style>
  <w:style w:type="paragraph" w:styleId="Heading2">
    <w:name w:val="Heading 2"/>
    <w:basedOn w:val="Normal"/>
    <w:next w:val="Normal"/>
    <w:qFormat/>
    <w:pPr>
      <w:spacing w:after="70" w:before="15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2026-06-27T19:32:54.876Z</dcterms:created>
  <dcterms:modified xsi:type="dcterms:W3CDTF">2026-06-27T19:32:54.876Z</dcterms:modified>
</cp:coreProperties>
</file>

<file path=docProps/custom.xml><?xml version="1.0" encoding="utf-8"?>
<Properties xmlns="http://schemas.openxmlformats.org/officeDocument/2006/custom-properties" xmlns:vt="http://schemas.openxmlformats.org/officeDocument/2006/docPropsVTypes"/>
</file>