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6"/>
          <w:szCs w:val="26"/>
        </w:rPr>
        <w:t xml:space="preserve">PROJECT SOLSTICE</w:t>
      </w:r>
    </w:p>
    <w:p>
      <w:pPr>
        <w:spacing w:after="200"/>
        <w:jc w:val="center"/>
      </w:pPr>
      <w:r>
        <w:rPr>
          <w:b/>
          <w:bCs/>
          <w:sz w:val="22"/>
          <w:szCs w:val="22"/>
        </w:rPr>
        <w:t xml:space="preserve">Investor Rights Agreement — Larkmoor Bioscience Limited</w:t>
      </w:r>
    </w:p>
    <w:p>
      <w:pPr>
        <w:spacing w:after="110"/>
      </w:pPr>
      <w:r>
        <w:t xml:space="preserve">This Investor Rights Agreement is made between Larkmoor Bioscience Limited (the “Company”), the Founders and Ardent Ventures LLP (the “Investor”) and is supplemental to the Subscription and Shareholders’ Agreement of the same date. Terms defined in that agreement have the same meaning here.</w:t>
      </w:r>
    </w:p>
    <w:p>
      <w:pPr>
        <w:pStyle w:val="Heading1"/>
      </w:pPr>
      <w:r>
        <w:t xml:space="preserve">1. Information rights</w:t>
      </w:r>
    </w:p>
    <w:p>
      <w:pPr>
        <w:pStyle w:val="ListParagraph"/>
        <w:numPr>
          <w:ilvl w:val="0"/>
          <w:numId w:val="2"/>
        </w:numPr>
        <w:spacing w:after="100"/>
      </w:pPr>
      <w:r>
        <w:t xml:space="preserve">The Company shall provide to the Investor: (a) audited annual accounts within 90 days of each financial year end; (b) unaudited monthly management accounts within 20 Business Days of each month end; (c) an annual budget and business plan not less than 30 days before the start of each financial year; and (d) such other information relating to the Company as the Investor may reasonably request.</w:t>
      </w:r>
    </w:p>
    <w:p>
      <w:pPr>
        <w:pStyle w:val="ListParagraph"/>
        <w:numPr>
          <w:ilvl w:val="0"/>
          <w:numId w:val="2"/>
        </w:numPr>
        <w:spacing w:after="100"/>
      </w:pPr>
      <w:r>
        <w:t xml:space="preserve">The Investor shall keep all information provided under this agreement confidential in accordance with the confidentiality provisions of the Subscription and Shareholders’ Agreement.</w:t>
      </w:r>
    </w:p>
    <w:p>
      <w:pPr>
        <w:pStyle w:val="Heading1"/>
      </w:pPr>
      <w:r>
        <w:t xml:space="preserve">2. Pre-emption on new issues</w:t>
      </w:r>
    </w:p>
    <w:p>
      <w:pPr>
        <w:pStyle w:val="ListParagraph"/>
        <w:numPr>
          <w:ilvl w:val="0"/>
          <w:numId w:val="2"/>
        </w:numPr>
        <w:spacing w:after="100"/>
      </w:pPr>
      <w:r>
        <w:t xml:space="preserve">Save in respect of Permitted Issues, the Company shall not issue any new shares unless it first offers them to existing shareholders pro rata to their holdings of shares (on an as-converted, fully diluted basis), on the same terms and at the same price.</w:t>
      </w:r>
    </w:p>
    <w:p>
      <w:pPr>
        <w:pStyle w:val="ListParagraph"/>
        <w:numPr>
          <w:ilvl w:val="0"/>
          <w:numId w:val="2"/>
        </w:numPr>
        <w:spacing w:after="100"/>
      </w:pPr>
      <w:r>
        <w:t xml:space="preserve">“Permitted Issues” means: (a) shares issued under the EMI option pool up to 12.0% of the fully diluted share capital; (b) shares issued on a bona fide acquisition approved by the board (including the Investor Director); and (c) shares issued on conversion of the Series A Preferred Shares.</w:t>
      </w:r>
    </w:p>
    <w:p>
      <w:pPr>
        <w:pStyle w:val="Heading1"/>
      </w:pPr>
      <w:r>
        <w:t xml:space="preserve">3. Anti-dilution</w:t>
      </w:r>
    </w:p>
    <w:p>
      <w:pPr>
        <w:pStyle w:val="ListParagraph"/>
        <w:numPr>
          <w:ilvl w:val="0"/>
          <w:numId w:val="2"/>
        </w:numPr>
        <w:spacing w:after="100"/>
      </w:pPr>
      <w:r>
        <w:t xml:space="preserve">If the Company issues new shares at a price per share less than the Subscription Price (a “Down Round”), the conversion rate of the Series A Preferred Shares shall be adjusted on a broad-based weighted average basis so as to mitigate the dilutive effect on the Investor, calculated in accordance with the formula in the Articles.</w:t>
      </w:r>
    </w:p>
    <w:p>
      <w:pPr>
        <w:pStyle w:val="Heading1"/>
      </w:pPr>
      <w:r>
        <w:t xml:space="preserve">4. Transfer provisions</w:t>
      </w:r>
    </w:p>
    <w:p>
      <w:pPr>
        <w:pStyle w:val="ListParagraph"/>
        <w:numPr>
          <w:ilvl w:val="0"/>
          <w:numId w:val="2"/>
        </w:numPr>
        <w:spacing w:after="100"/>
      </w:pPr>
      <w:r>
        <w:t xml:space="preserve">Tag-along: if the Founders propose to transfer shares representing more than 5% of the issued share capital to a third party, the Investor shall have the right to require the proposed transferee to purchase the same proportion of the Investor’s shares on the same terms.</w:t>
      </w:r>
    </w:p>
    <w:p>
      <w:pPr>
        <w:pStyle w:val="ListParagraph"/>
        <w:numPr>
          <w:ilvl w:val="0"/>
          <w:numId w:val="2"/>
        </w:numPr>
        <w:spacing w:after="100"/>
      </w:pPr>
      <w:r>
        <w:t xml:space="preserve">Drag-along: if holders of not less than 75% of the issued shares (which must include an Investor Majority) accept a bona fide offer for the entire issued share capital, they may require all other shareholders to sell their shares on the same terms.</w:t>
      </w:r>
    </w:p>
    <w:p>
      <w:pPr>
        <w:pStyle w:val="ListParagraph"/>
        <w:numPr>
          <w:ilvl w:val="0"/>
          <w:numId w:val="2"/>
        </w:numPr>
        <w:spacing w:after="100"/>
      </w:pPr>
      <w:r>
        <w:t xml:space="preserve">Right of first refusal: no shareholder shall transfer any shares without first offering them to the other shareholders in accordance with the pre-emption procedure set out in the Articles.</w:t>
      </w:r>
    </w:p>
    <w:p>
      <w:pPr>
        <w:pStyle w:val="Heading1"/>
      </w:pPr>
      <w:r>
        <w:t xml:space="preserve">5. Liquidation preference</w:t>
      </w:r>
    </w:p>
    <w:p>
      <w:pPr>
        <w:pStyle w:val="ListParagraph"/>
        <w:numPr>
          <w:ilvl w:val="0"/>
          <w:numId w:val="2"/>
        </w:numPr>
        <w:spacing w:after="100"/>
      </w:pPr>
      <w:r>
        <w:t xml:space="preserve">On a return of capital on a liquidation, sale or winding up, the holders of Series A Preferred Shares shall be entitled to receive, in priority to the holders of Ordinary Shares, an amount equal to the Subscription Price paid for their shares (a 1x non-participating preference), after which they shall not participate further unless they elect to convert into Ordinary Shares and participate pro rata.</w:t>
      </w:r>
    </w:p>
    <w:p>
      <w:pPr>
        <w:pStyle w:val="Heading1"/>
      </w:pPr>
      <w:r>
        <w:t xml:space="preserve">6. Founder leaver and good/bad leaver provisions</w:t>
      </w:r>
    </w:p>
    <w:p>
      <w:pPr>
        <w:pStyle w:val="ListParagraph"/>
        <w:numPr>
          <w:ilvl w:val="0"/>
          <w:numId w:val="2"/>
        </w:numPr>
        <w:spacing w:after="100"/>
      </w:pPr>
      <w:r>
        <w:t xml:space="preserve">The leaver provisions in clause 10 of the Subscription and Shareholders’ Agreement apply to the Founders, and the Investor Director shall have the casting determination on any re-classification of leaver status, acting reasonably.</w:t>
      </w:r>
    </w:p>
    <w:p>
      <w:pPr>
        <w:pStyle w:val="Heading1"/>
      </w:pPr>
      <w:r>
        <w:t xml:space="preserve">7. General</w:t>
      </w:r>
    </w:p>
    <w:p>
      <w:pPr>
        <w:pStyle w:val="ListParagraph"/>
        <w:numPr>
          <w:ilvl w:val="0"/>
          <w:numId w:val="2"/>
        </w:numPr>
        <w:spacing w:after="100"/>
      </w:pPr>
      <w:r>
        <w:t xml:space="preserve">This agreement is governed by the law of England and Wales and the parties submit to the exclusive jurisdiction of the courts of England and Wales. A person who is not a party has no rights under the Contracts (Rights of Third Parties) Act 1999.</w:t>
      </w:r>
    </w:p>
    <w:p>
      <w:pPr>
        <w:spacing w:after="110"/>
      </w:pPr>
      <w:r>
        <w:t xml:space="preserve"/>
      </w:r>
    </w:p>
    <w:p>
      <w:pPr>
        <w:spacing w:after="110"/>
      </w:pPr>
      <w:r>
        <w:t xml:space="preserve">Signed for and on behalf of Larkmoor Bioscience Limited: ____________________</w:t>
      </w:r>
    </w:p>
    <w:p>
      <w:pPr>
        <w:spacing w:after="110"/>
      </w:pPr>
      <w:r>
        <w:t xml:space="preserve">Signed for and on behalf of Ardent Ventures LLP: 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22"/>
        <w:szCs w:val="22"/>
      </w:rPr>
      <w:t xml:space="preserve">Whitfield Carter LLP</w:t>
    </w:r>
  </w:p>
  <w:p>
    <w:pPr>
      <w:pBdr>
        <w:bottom w:val="single" w:color="1F3864" w:sz="6" w:space="4"/>
      </w:pBdr>
      <w:spacing w:after="180"/>
      <w:jc w:val="right"/>
    </w:pPr>
    <w:r>
      <w:rPr>
        <w:color w:val="595959"/>
        <w:sz w:val="15"/>
        <w:szCs w:val="15"/>
      </w:rPr>
      <w:t xml:space="preserve">22 Bishopsgate, London EC2N 4BQ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abstractNum>
  <w:abstractNum w:abstractNumId="3" w15:restartNumberingAfterBreak="0">
    <w:multiLevelType w:val="hybridMultilevel"/>
    <w:lvl w:ilvl="0" w15:tentative="1">
      <w:start w:val="1"/>
      <w:numFmt w:val="lowerLetter"/>
      <w:lvlText w:val="(%1)"/>
      <w:lvlJc w:val="left"/>
      <w:pPr>
        <w:ind w:left="1080" w:hanging="4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20"/>
      <w:outlineLvl w:val="0"/>
    </w:pPr>
    <w:rPr>
      <w:rFonts w:ascii="Arial" w:cs="Arial" w:eastAsia="Arial" w:hAnsi="Arial"/>
      <w:b/>
      <w:bCs/>
      <w:sz w:val="25"/>
      <w:szCs w:val="25"/>
    </w:rPr>
  </w:style>
  <w:style w:type="paragraph" w:styleId="Heading2">
    <w:name w:val="Heading 2"/>
    <w:basedOn w:val="Normal"/>
    <w:next w:val="Normal"/>
    <w:qFormat/>
    <w:pPr>
      <w:spacing w:after="70" w:before="15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2026-06-27T19:32:54.855Z</dcterms:created>
  <dcterms:modified xsi:type="dcterms:W3CDTF">2026-06-27T19:32:54.856Z</dcterms:modified>
</cp:coreProperties>
</file>

<file path=docProps/custom.xml><?xml version="1.0" encoding="utf-8"?>
<Properties xmlns="http://schemas.openxmlformats.org/officeDocument/2006/custom-properties" xmlns:vt="http://schemas.openxmlformats.org/officeDocument/2006/docPropsVTypes"/>
</file>