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8"/>
          <w:szCs w:val="28"/>
        </w:rPr>
        <w:t xml:space="preserve">PROJECT SOLSTICE</w:t>
      </w:r>
    </w:p>
    <w:p>
      <w:pPr>
        <w:spacing w:after="120"/>
        <w:jc w:val="center"/>
      </w:pPr>
      <w:r>
        <w:rPr>
          <w:b/>
          <w:bCs/>
          <w:sz w:val="24"/>
          <w:szCs w:val="24"/>
        </w:rPr>
        <w:t xml:space="preserve">Series A Investment in Larkmoor Bioscience Limited</w:t>
      </w:r>
    </w:p>
    <w:p>
      <w:pPr>
        <w:spacing w:after="240"/>
        <w:jc w:val="center"/>
      </w:pPr>
      <w:r>
        <w:rPr>
          <w:i/>
          <w:iCs/>
          <w:sz w:val="20"/>
          <w:szCs w:val="20"/>
        </w:rPr>
        <w:t xml:space="preserve">Non-binding Term Sheet  |  Dated 23 June 2025</w:t>
      </w:r>
    </w:p>
    <w:p>
      <w:pPr>
        <w:spacing w:after="120"/>
      </w:pPr>
      <w:r>
        <w:t xml:space="preserve">This term sheet summarises the principal terms of a proposed Series A investment in Larkmoor Bioscience Limited (the “Company”). Save for the paragraphs headed Exclusivity, Costs, Confidentiality and Governing Law, this term sheet is not legally binding and is subject to contract, satisfactory due diligence and investment committee approval.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BFBFBF" w:sz="1"/>
              <w:left w:val="single" w:color="BFBFBF" w:sz="1"/>
              <w:bottom w:val="single" w:color="BFBFBF" w:sz="1"/>
              <w:right w:val="single" w:color="BFBFBF" w:sz="1"/>
            </w:tcBorders>
            <w:shd w:fill="1F4E78" w:val="clear"/>
            <w:tcMar>
              <w:top w:type="dxa" w:w="60"/>
              <w:left w:type="dxa" w:w="110"/>
              <w:bottom w:type="dxa" w:w="60"/>
              <w:right w:type="dxa" w:w="110"/>
            </w:tcMar>
          </w:tcPr>
          <w:p>
            <w:r>
              <w:rPr>
                <w:b/>
                <w:bCs/>
                <w:color w:val="FFFFFF"/>
                <w:sz w:val="19"/>
                <w:szCs w:val="19"/>
              </w:rPr>
              <w:t xml:space="preserve">Term</w:t>
            </w:r>
          </w:p>
        </w:tc>
        <w:tc>
          <w:tcPr>
            <w:tcW w:type="dxa" w:w="6200"/>
            <w:tcBorders>
              <w:top w:val="single" w:color="BFBFBF" w:sz="1"/>
              <w:left w:val="single" w:color="BFBFBF" w:sz="1"/>
              <w:bottom w:val="single" w:color="BFBFBF" w:sz="1"/>
              <w:right w:val="single" w:color="BFBFBF" w:sz="1"/>
            </w:tcBorders>
            <w:shd w:fill="1F4E78" w:val="clear"/>
            <w:tcMar>
              <w:top w:type="dxa" w:w="60"/>
              <w:left w:type="dxa" w:w="110"/>
              <w:bottom w:type="dxa" w:w="60"/>
              <w:right w:type="dxa" w:w="110"/>
            </w:tcMar>
          </w:tcPr>
          <w:p>
            <w:r>
              <w:rPr>
                <w:b/>
                <w:bCs/>
                <w:color w:val="FFFFFF"/>
                <w:sz w:val="19"/>
                <w:szCs w:val="19"/>
              </w:rPr>
              <w:t xml:space="preserve">Detail</w:t>
            </w:r>
          </w:p>
        </w:tc>
      </w:tr>
      <w:tr>
        <w:tc>
          <w:tcPr>
            <w:tcW w:type="dxa" w:w="28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19"/>
                <w:szCs w:val="19"/>
              </w:rPr>
              <w:t xml:space="preserve">Company</w:t>
            </w:r>
          </w:p>
        </w:tc>
        <w:tc>
          <w:tcPr>
            <w:tcW w:type="dxa" w:w="6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19"/>
                <w:szCs w:val="19"/>
              </w:rPr>
              <w:t xml:space="preserve">Larkmoor Bioscience Limited (registered no. 11820447)</w:t>
            </w:r>
          </w:p>
        </w:tc>
      </w:tr>
      <w:tr>
        <w:tc>
          <w:tcPr>
            <w:tcW w:type="dxa" w:w="2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19"/>
                <w:szCs w:val="19"/>
              </w:rPr>
              <w:t xml:space="preserve">Lead Investor</w:t>
            </w:r>
          </w:p>
        </w:tc>
        <w:tc>
          <w:tcPr>
            <w:tcW w:type="dxa" w:w="6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19"/>
                <w:szCs w:val="19"/>
              </w:rPr>
              <w:t xml:space="preserve">Ardent Ventures LLP, on behalf of Ardent Ventures Fund III LP</w:t>
            </w:r>
          </w:p>
        </w:tc>
      </w:tr>
      <w:tr>
        <w:tc>
          <w:tcPr>
            <w:tcW w:type="dxa" w:w="28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19"/>
                <w:szCs w:val="19"/>
              </w:rPr>
              <w:t xml:space="preserve">Investment amount</w:t>
            </w:r>
          </w:p>
        </w:tc>
        <w:tc>
          <w:tcPr>
            <w:tcW w:type="dxa" w:w="6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19"/>
                <w:szCs w:val="19"/>
              </w:rPr>
              <w:t xml:space="preserve">£8,000,000</w:t>
            </w:r>
          </w:p>
        </w:tc>
      </w:tr>
      <w:tr>
        <w:tc>
          <w:tcPr>
            <w:tcW w:type="dxa" w:w="2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19"/>
                <w:szCs w:val="19"/>
              </w:rPr>
              <w:t xml:space="preserve">Pre-money valuation</w:t>
            </w:r>
          </w:p>
        </w:tc>
        <w:tc>
          <w:tcPr>
            <w:tcW w:type="dxa" w:w="6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19"/>
                <w:szCs w:val="19"/>
              </w:rPr>
              <w:t xml:space="preserve">£24,000,000 (fully diluted)</w:t>
            </w:r>
          </w:p>
        </w:tc>
      </w:tr>
      <w:tr>
        <w:tc>
          <w:tcPr>
            <w:tcW w:type="dxa" w:w="28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19"/>
                <w:szCs w:val="19"/>
              </w:rPr>
              <w:t xml:space="preserve">Post-money valuation</w:t>
            </w:r>
          </w:p>
        </w:tc>
        <w:tc>
          <w:tcPr>
            <w:tcW w:type="dxa" w:w="6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19"/>
                <w:szCs w:val="19"/>
              </w:rPr>
              <w:t xml:space="preserve">£32,000,000</w:t>
            </w:r>
          </w:p>
        </w:tc>
      </w:tr>
      <w:tr>
        <w:tc>
          <w:tcPr>
            <w:tcW w:type="dxa" w:w="2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19"/>
                <w:szCs w:val="19"/>
              </w:rPr>
              <w:t xml:space="preserve">Security</w:t>
            </w:r>
          </w:p>
        </w:tc>
        <w:tc>
          <w:tcPr>
            <w:tcW w:type="dxa" w:w="6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19"/>
                <w:szCs w:val="19"/>
              </w:rPr>
              <w:t xml:space="preserve">Series A Preferred Shares of £0.001 each</w:t>
            </w:r>
          </w:p>
        </w:tc>
      </w:tr>
      <w:tr>
        <w:tc>
          <w:tcPr>
            <w:tcW w:type="dxa" w:w="28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19"/>
                <w:szCs w:val="19"/>
              </w:rPr>
              <w:t xml:space="preserve">Issue price</w:t>
            </w:r>
          </w:p>
        </w:tc>
        <w:tc>
          <w:tcPr>
            <w:tcW w:type="dxa" w:w="6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19"/>
                <w:szCs w:val="19"/>
              </w:rPr>
              <w:t xml:space="preserve">£4.00 per Series A Preferred Share (2,000,000 shares)</w:t>
            </w:r>
          </w:p>
        </w:tc>
      </w:tr>
      <w:tr>
        <w:tc>
          <w:tcPr>
            <w:tcW w:type="dxa" w:w="2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19"/>
                <w:szCs w:val="19"/>
              </w:rPr>
              <w:t xml:space="preserve">Resulting holding</w:t>
            </w:r>
          </w:p>
        </w:tc>
        <w:tc>
          <w:tcPr>
            <w:tcW w:type="dxa" w:w="6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19"/>
                <w:szCs w:val="19"/>
              </w:rPr>
              <w:t xml:space="preserve">25.0% of the Company on a fully diluted post-money basis</w:t>
            </w:r>
          </w:p>
        </w:tc>
      </w:tr>
      <w:tr>
        <w:tc>
          <w:tcPr>
            <w:tcW w:type="dxa" w:w="28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19"/>
                <w:szCs w:val="19"/>
              </w:rPr>
              <w:t xml:space="preserve">Option pool</w:t>
            </w:r>
          </w:p>
        </w:tc>
        <w:tc>
          <w:tcPr>
            <w:tcW w:type="dxa" w:w="6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19"/>
                <w:szCs w:val="19"/>
              </w:rPr>
              <w:t xml:space="preserve">EMI pool to be increased to 12.0% of fully diluted post-money share capital, created pre-money</w:t>
            </w:r>
          </w:p>
        </w:tc>
      </w:tr>
      <w:tr>
        <w:tc>
          <w:tcPr>
            <w:tcW w:type="dxa" w:w="2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19"/>
                <w:szCs w:val="19"/>
              </w:rPr>
              <w:t xml:space="preserve">Liquidation preference</w:t>
            </w:r>
          </w:p>
        </w:tc>
        <w:tc>
          <w:tcPr>
            <w:tcW w:type="dxa" w:w="6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19"/>
                <w:szCs w:val="19"/>
              </w:rPr>
              <w:t xml:space="preserve">1x non-participating, with the right to convert to Ordinary</w:t>
            </w:r>
          </w:p>
        </w:tc>
      </w:tr>
      <w:tr>
        <w:tc>
          <w:tcPr>
            <w:tcW w:type="dxa" w:w="28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19"/>
                <w:szCs w:val="19"/>
              </w:rPr>
              <w:t xml:space="preserve">Anti-dilution</w:t>
            </w:r>
          </w:p>
        </w:tc>
        <w:tc>
          <w:tcPr>
            <w:tcW w:type="dxa" w:w="6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19"/>
                <w:szCs w:val="19"/>
              </w:rPr>
              <w:t xml:space="preserve">Broad-based weighted average</w:t>
            </w:r>
          </w:p>
        </w:tc>
      </w:tr>
      <w:tr>
        <w:tc>
          <w:tcPr>
            <w:tcW w:type="dxa" w:w="2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19"/>
                <w:szCs w:val="19"/>
              </w:rPr>
              <w:t xml:space="preserve">Board</w:t>
            </w:r>
          </w:p>
        </w:tc>
        <w:tc>
          <w:tcPr>
            <w:tcW w:type="dxa" w:w="6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19"/>
                <w:szCs w:val="19"/>
              </w:rPr>
              <w:t xml:space="preserve">One Investor Director; board of five (two founders, one Investor Director, two others)</w:t>
            </w:r>
          </w:p>
        </w:tc>
      </w:tr>
      <w:tr>
        <w:tc>
          <w:tcPr>
            <w:tcW w:type="dxa" w:w="28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19"/>
                <w:szCs w:val="19"/>
              </w:rPr>
              <w:t xml:space="preserve">Consent matters</w:t>
            </w:r>
          </w:p>
        </w:tc>
        <w:tc>
          <w:tcPr>
            <w:tcW w:type="dxa" w:w="6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19"/>
                <w:szCs w:val="19"/>
              </w:rPr>
              <w:t xml:space="preserve">Customary Investor consent matters (Schedule 3 of the Subscription &amp; Shareholders’ Agreement)</w:t>
            </w:r>
          </w:p>
        </w:tc>
      </w:tr>
      <w:tr>
        <w:tc>
          <w:tcPr>
            <w:tcW w:type="dxa" w:w="2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19"/>
                <w:szCs w:val="19"/>
              </w:rPr>
              <w:t xml:space="preserve">Founder vesting</w:t>
            </w:r>
          </w:p>
        </w:tc>
        <w:tc>
          <w:tcPr>
            <w:tcW w:type="dxa" w:w="6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19"/>
                <w:szCs w:val="19"/>
              </w:rPr>
              <w:t xml:space="preserve">Reverse vesting of founder shares over 48 months, 12-month cliff</w:t>
            </w:r>
          </w:p>
        </w:tc>
      </w:tr>
      <w:tr>
        <w:tc>
          <w:tcPr>
            <w:tcW w:type="dxa" w:w="28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19"/>
                <w:szCs w:val="19"/>
              </w:rPr>
              <w:t xml:space="preserve">Warranties</w:t>
            </w:r>
          </w:p>
        </w:tc>
        <w:tc>
          <w:tcPr>
            <w:tcW w:type="dxa" w:w="6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19"/>
                <w:szCs w:val="19"/>
              </w:rPr>
              <w:t xml:space="preserve">Customary business warranties from the Company and the Founders, qualified by disclosure</w:t>
            </w:r>
          </w:p>
        </w:tc>
      </w:tr>
      <w:tr>
        <w:tc>
          <w:tcPr>
            <w:tcW w:type="dxa" w:w="2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19"/>
                <w:szCs w:val="19"/>
              </w:rPr>
              <w:t xml:space="preserve">Conditions</w:t>
            </w:r>
          </w:p>
        </w:tc>
        <w:tc>
          <w:tcPr>
            <w:tcW w:type="dxa" w:w="6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19"/>
                <w:szCs w:val="19"/>
              </w:rPr>
              <w:t xml:space="preserve">Satisfactory legal and financial due diligence; board and shareholder approvals; adoption of amended articles</w:t>
            </w:r>
          </w:p>
        </w:tc>
      </w:tr>
      <w:tr>
        <w:tc>
          <w:tcPr>
            <w:tcW w:type="dxa" w:w="28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19"/>
                <w:szCs w:val="19"/>
              </w:rPr>
              <w:t xml:space="preserve">Target completion</w:t>
            </w:r>
          </w:p>
        </w:tc>
        <w:tc>
          <w:tcPr>
            <w:tcW w:type="dxa" w:w="6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19"/>
                <w:szCs w:val="19"/>
              </w:rPr>
              <w:t xml:space="preserve">12 September 2025</w:t>
            </w:r>
          </w:p>
        </w:tc>
      </w:tr>
    </w:tbl>
    <w:p>
      <w:pPr>
        <w:pStyle w:val="Heading2"/>
      </w:pPr>
      <w:r>
        <w:t xml:space="preserve">Exclusivity</w:t>
      </w:r>
    </w:p>
    <w:p>
      <w:pPr>
        <w:spacing w:after="120"/>
      </w:pPr>
      <w:r>
        <w:t xml:space="preserve">From the date of this term sheet until the earlier of completion and 30 September 2025, the Company shall deal exclusively with the Lead Investor in respect of any equity fundraising and shall not solicit or accept competing proposals.</w:t>
      </w:r>
    </w:p>
    <w:p>
      <w:pPr>
        <w:pStyle w:val="Heading2"/>
      </w:pPr>
      <w:r>
        <w:t xml:space="preserve">Costs</w:t>
      </w:r>
    </w:p>
    <w:p>
      <w:pPr>
        <w:spacing w:after="120"/>
      </w:pPr>
      <w:r>
        <w:t xml:space="preserve">Each party shall bear its own costs, save that the Company shall reimburse the Lead Investor’s reasonable legal fees up to a cap of £35,000 plus VAT on completion. If the Investment does not complete for reasons other than the Lead Investor’s default, each party bears its own costs.</w:t>
      </w:r>
    </w:p>
    <w:p>
      <w:pPr>
        <w:pStyle w:val="Heading2"/>
      </w:pPr>
      <w:r>
        <w:t xml:space="preserve">Confidentiality</w:t>
      </w:r>
    </w:p>
    <w:p>
      <w:pPr>
        <w:spacing w:after="120"/>
      </w:pPr>
      <w:r>
        <w:t xml:space="preserve">The existence and terms of this term sheet are confidential and may not be disclosed save as required by law or to a party’s professional advisers.</w:t>
      </w:r>
    </w:p>
    <w:p>
      <w:pPr>
        <w:pStyle w:val="Heading2"/>
      </w:pPr>
      <w:r>
        <w:t xml:space="preserve">Governing law</w:t>
      </w:r>
    </w:p>
    <w:p>
      <w:pPr>
        <w:spacing w:after="120"/>
      </w:pPr>
      <w:r>
        <w:t xml:space="preserve">This term sheet and any dispute arising from it are governed by English law and subject to the exclusive jurisdiction of the courts of England and Wales.</w:t>
      </w:r>
    </w:p>
    <w:p>
      <w:pPr>
        <w:spacing w:after="120"/>
      </w:pPr>
      <w:r>
        <w:t xml:space="preserve"/>
      </w:r>
    </w:p>
    <w:p>
      <w:pPr>
        <w:spacing w:after="120"/>
      </w:pPr>
      <w:r>
        <w:t xml:space="preserve">Agreed for and on behalf of Larkmoor Bioscience Limited: ______________________  (Dr Alice Wren, CEO)</w:t>
      </w:r>
    </w:p>
    <w:p>
      <w:pPr>
        <w:spacing w:after="120"/>
      </w:pPr>
      <w:r>
        <w:t xml:space="preserve">Agreed for and on behalf of Ardent Ventures LLP: ______________________  (Geraldine Voss, Partner)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pPr>
    <w:r>
      <w:rPr>
        <w:color w:val="808080"/>
        <w:sz w:val="14"/>
        <w:szCs w:val="14"/>
      </w:rPr>
      <w:t xml:space="preserve">Confidential and may be legally privileged.</w:t>
    </w:r>
    <w:r>
      <w:rPr>
        <w:color w:val="808080"/>
        <w:sz w:val="14"/>
        <w:szCs w:val="14"/>
      </w:rPr>
      <w:t xml:space="preserve">	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1F3864"/>
        <w:sz w:val="24"/>
        <w:szCs w:val="24"/>
      </w:rPr>
      <w:t xml:space="preserve">Whitfield Carter LLP</w:t>
    </w:r>
  </w:p>
  <w:p>
    <w:pPr>
      <w:pBdr>
        <w:bottom w:val="single" w:color="1F3864" w:sz="6" w:space="4"/>
      </w:pBdr>
      <w:spacing w:after="200"/>
      <w:jc w:val="right"/>
    </w:pPr>
    <w:r>
      <w:rPr>
        <w:color w:val="595959"/>
        <w:sz w:val="16"/>
        <w:szCs w:val="16"/>
      </w:rPr>
      <w:t xml:space="preserve">22 Bishopsgate, London EC2N 4BQ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4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2026-06-27T19:29:16.611Z</dcterms:created>
  <dcterms:modified xsi:type="dcterms:W3CDTF">2026-06-27T19:29:16.611Z</dcterms:modified>
</cp:coreProperties>
</file>

<file path=docProps/custom.xml><?xml version="1.0" encoding="utf-8"?>
<Properties xmlns="http://schemas.openxmlformats.org/officeDocument/2006/custom-properties" xmlns:vt="http://schemas.openxmlformats.org/officeDocument/2006/docPropsVTypes"/>
</file>