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CPSE.1 (version 3.8) — GENERAL PRE-CONTRACT ENQUIRIES</w:t>
      </w:r>
    </w:p>
    <w:p>
      <w:pPr>
        <w:spacing w:after="200"/>
        <w:jc w:val="center"/>
      </w:pPr>
      <w:r>
        <w:rPr>
          <w:i/>
          <w:iCs/>
          <w:sz w:val="20"/>
          <w:szCs w:val="20"/>
        </w:rPr>
        <w:t xml:space="preserve">Replies on behalf of the 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Property</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Ashby House, 40 Curzon Street, London W1J 7TL</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Seller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Westmoreland Property Holdings Limited</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Buyer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Marchwood Property Group Limited</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Seller's solicitors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Pendle Voss LLP (ref DP/RV/WM-Ashby)</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Date of replies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9 April 2026</w:t>
            </w:r>
          </w:p>
        </w:tc>
      </w:tr>
    </w:tbl>
    <w:p>
      <w:pPr>
        <w:spacing w:after="80"/>
      </w:pPr>
      <w:r>
        <w:t xml:space="preserve"/>
      </w:r>
    </w:p>
    <w:p>
      <w:pPr>
        <w:spacing w:after="120" w:line="276"/>
      </w:pPr>
      <w:r>
        <w:t xml:space="preserve">These replies are given by the Seller's solicitors on behalf of the Seller. They are given subject to the principles set out in the standard form. Where a reply refers to a document, a copy has been or will be supplied in the data room. “Not so far as the Seller is aware” means the actual knowledge of Mr Gerald Westmoreland and Ms Diane Croft, having made reasonable enquiry of the managing agents, Hartwell Cushman LLP.</w:t>
      </w:r>
    </w:p>
    <w:p>
      <w:pPr>
        <w:pStyle w:val="Heading1"/>
      </w:pPr>
      <w:r>
        <w:t xml:space="preserve">1. Boundaries, party walls and adjoining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Please supply a plan showing the boundaries.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 title plan is registered under title number NGL612904. The Seller is not aware of any boundary discrepancy. A copy of the official copies and title plan is in the data room at document 1.01.</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Who has maintained the boundary features?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Property is a self-contained building with no shared boundary features other than the party walls to the adjoining buildings at 38 and 42 Curzon Street. Maintenance has been carried out by the Seller as part of the building's repair.</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1.4</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Party walls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flank walls are party walls. The Seller is not aware of any current party wall award or any notice served or received under the Party Wall etc. Act 1996 in the last six years.</w:t>
            </w:r>
          </w:p>
        </w:tc>
      </w:tr>
    </w:tbl>
    <w:p>
      <w:pPr>
        <w:pStyle w:val="Heading1"/>
      </w:pPr>
      <w:r>
        <w:t xml:space="preserve">2. Rights benefiting and burdening the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Easements, rights and informal arrangements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Property benefits from and is subject to the matters referred to in the property and charges registers (data room 1.01). There is a deed of easement dated 14 June 1998 granting rights of support and a right to use the sub-station at the rear (data room 1.05). The Seller is not aware of any informal or undocumented arrangements.</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2.3</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Adverse rights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Save as disclosed in the registers and replies, the Seller is not aware of any adverse rights, covenants or interests affecting the Property.</w:t>
            </w:r>
          </w:p>
        </w:tc>
      </w:tr>
    </w:tbl>
    <w:p>
      <w:pPr>
        <w:pStyle w:val="Heading1"/>
      </w:pPr>
      <w:r>
        <w:t xml:space="preserve">3. Title and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Title guarantee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Seller will transfer with full title guarantee.</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Registration</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freehold is registered with title absolute under NGL612904. There are no pending applications at HM Land Registry.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3.4</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Overriding interests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Save for the occupational leases (which are disclosed) and the matters in the registers, the Seller is not aware of any overriding interest.</w:t>
            </w:r>
          </w:p>
        </w:tc>
      </w:tr>
    </w:tbl>
    <w:p>
      <w:pPr>
        <w:pStyle w:val="Heading1"/>
      </w:pPr>
      <w:r>
        <w:t xml:space="preserve">4. Notices and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4.1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Notices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Seller is not aware of any notice given or received affecting the Property in the last six years, other than routine service charge and rent demands.</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4.3</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Disputes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There is one ongoing matter: a service charge query raised by the tenant of the third floor (Brindley Marketing Limited) concerning the apportionment of lift refurbishment costs in the year ended 24 March 2025. The matter is in correspondence; no proceedings have been issued. Correspondence is in the data room at 4.01.</w:t>
            </w:r>
          </w:p>
        </w:tc>
      </w:tr>
    </w:tbl>
    <w:p>
      <w:pPr>
        <w:pStyle w:val="Heading1"/>
      </w:pPr>
      <w:r>
        <w:t xml:space="preserve">5. Physical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5.1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Alterations and works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Major refurbishment of the reception and common parts was completed in 2021 with the benefit of building regulations approval (data room 5.01). The Seller is not aware of any outstanding statutory notice or breach of building regulations.</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5.3</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Defects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Buyer should rely on its own survey. The Seller is not aware of any structural defect save that the flat-roof covering above the sixth floor is approaching the end of its serviceable life and is included in the planned maintenance programme (data room 5.02).</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5.5</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Asbestos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An asbestos management survey dated March 2024 is in the data room at 5.03. An asbestos management plan is in place and managed by the managing agents.</w:t>
            </w:r>
          </w:p>
        </w:tc>
      </w:tr>
    </w:tbl>
    <w:p>
      <w:pPr>
        <w:pStyle w:val="Heading1"/>
      </w:pPr>
      <w:r>
        <w:t xml:space="preserve">6.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6.1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Items to be removed or remaining</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Property is sold as an investment subject to the leases. Landlord's fixtures and the plant identified in the plant schedule (data room 6.01) are included. No loose contents are included.</w:t>
            </w:r>
          </w:p>
        </w:tc>
      </w:tr>
    </w:tbl>
    <w:p>
      <w:pPr>
        <w:pStyle w:val="Heading1"/>
      </w:pPr>
      <w:r>
        <w:t xml:space="preserve">7. Utilities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7.1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Services connected</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Property is connected to mains water, drainage, gas, electricity and telecommunications. The electricity sub-station at the rear is the subject of the deed referred to in reply 2.1.</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7.2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Service media routes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So far as the Seller is aware, the service media serving the Property run within the Property or within the highway, save for the shared drainage referred to in the title.</w:t>
            </w:r>
          </w:p>
        </w:tc>
      </w:tr>
    </w:tbl>
    <w:p>
      <w:pPr>
        <w:pStyle w:val="Heading1"/>
      </w:pPr>
      <w:r>
        <w:t xml:space="preserve">8. VAT and TOGC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8.1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Has the Seller opted to tax?</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Yes. The Seller (and its relevant group) has exercised the option to tax the Property with effect from 1 April 2015. A copy of HMRC's acknowledgement is in the data room at 8.01.</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8.2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TOGC</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Seller intends the sale to be treated as a transfer of a going concern. The Buyer must, before the relevant date, (a) be or become VAT registered, (b) opt to tax the Property and notify HMRC, and (c) confirm that the option will not be disapplied. The contract contains the standard TOGC provisions.</w:t>
            </w:r>
          </w:p>
        </w:tc>
      </w:tr>
    </w:tbl>
    <w:p>
      <w:pPr>
        <w:pStyle w:val="Heading1"/>
      </w:pPr>
      <w:r>
        <w:t xml:space="preserve">9.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9.1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Buildings insurance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Property is insured under a block policy arranged by the Seller (Sumref Underwriting, policy WPH-2024-CURZON), reinstatement value £31.4m. The policy is in the data room at 9.01. Insurance is recharged to tenants through the service charge.</w:t>
            </w:r>
          </w:p>
        </w:tc>
      </w:tr>
    </w:tbl>
    <w:p>
      <w:pPr>
        <w:pStyle w:val="Heading1"/>
      </w:pPr>
      <w:r>
        <w:t xml:space="preserve">10. Occupational leases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10.1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Leases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Property is let under the seven occupational leases summarised in the tenancy schedule (data room 10.01 and the Excel tenancy schedule supplied separately). Copies of the leases, licences and rent deposit deeds are in the data room at 10.02 to 10.15.</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10.4</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Arrears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As at 31 March 2026 there are arrears of £14,300 owing by the tenant of the second floor (Calderfield Recruitment Ltd), which is in correspondence. All other rents are paid up to date.</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10.7</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Rent deposits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Rent deposits of £196,000 (Aldous Capital LLP) and £122,400 (Brindley Marketing Limited) are held. These will be dealt with under the rent deposit deed on completion.</w:t>
            </w:r>
          </w:p>
        </w:tc>
      </w:tr>
    </w:tbl>
    <w:p>
      <w:pPr>
        <w:pStyle w:val="Heading1"/>
      </w:pPr>
      <w:r>
        <w:t xml:space="preserve">11. Environmental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No.</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Enquiry</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Reply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11.1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Contamination</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Seller is not aware of any contamination. No environmental warranty is given; the Buyer must rely on its own environmental searches and reports.</w:t>
            </w:r>
          </w:p>
        </w:tc>
      </w:tr>
    </w:tbl>
    <w:p>
      <w:pPr>
        <w:spacing w:after="80"/>
      </w:pPr>
      <w:r>
        <w:t xml:space="preserve"/>
      </w:r>
    </w:p>
    <w:p>
      <w:pPr>
        <w:spacing w:after="120" w:line="276"/>
      </w:pPr>
      <w:r>
        <w:t xml:space="preserve">Pendle Voss LLP
9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60"/>
    </w:pPr>
    <w:r>
      <w:rPr>
        <w:color w:val="808080"/>
        <w:sz w:val="13"/>
        <w:szCs w:val="13"/>
      </w:rPr>
      <w:t xml:space="preserve">Whitfield Carter LLP is a limited liability partnership registered in England and Wales and is authorised and regulated by the Solicitors Regulation Authority. Registered office: 22 Bishopsgate, London EC2N 4BQ.</w:t>
    </w:r>
  </w:p>
  <w:p>
    <w:pPr>
      <w:jc w:val="right"/>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700"/>
      </w:pPr>
    </w:lvl>
    <w:lvl w:ilvl="2" w15:tentative="1">
      <w:start w:val="1"/>
      <w:numFmt w:val="lowerLetter"/>
      <w:lvlText w:val="(%3)"/>
      <w:lvlJc w:val="left"/>
      <w:pPr>
        <w:ind w:left="1750" w:hanging="600"/>
      </w:pPr>
    </w:lvl>
    <w:lvl w:ilvl="3" w15:tentative="1">
      <w:start w:val="1"/>
      <w:numFmt w:val="lowerRoman"/>
      <w:lvlText w:val="(%4)"/>
      <w:lvlJc w:val="left"/>
      <w:pPr>
        <w:ind w:left="2350" w:hanging="6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2026-06-26T02:39:22.969Z</dcterms:created>
  <dcterms:modified xsi:type="dcterms:W3CDTF">2026-06-26T02:39:22.969Z</dcterms:modified>
</cp:coreProperties>
</file>

<file path=docProps/custom.xml><?xml version="1.0" encoding="utf-8"?>
<Properties xmlns="http://schemas.openxmlformats.org/officeDocument/2006/custom-properties" xmlns:vt="http://schemas.openxmlformats.org/officeDocument/2006/docPropsVTypes"/>
</file>