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PROJECT EMBER — COMPLETION CHECKLIST</w:t>
      </w:r>
    </w:p>
    <w:p>
      <w:pPr>
        <w:spacing w:after="40"/>
        <w:jc w:val="center"/>
      </w:pPr>
      <w:r>
        <w:rPr>
          <w:i/>
          <w:iCs/>
          <w:sz w:val="18"/>
          <w:szCs w:val="18"/>
        </w:rPr>
        <w:t xml:space="preserve">Acquisition of Ashby House, 40 Curzon Street, London W1J 7TL</w:t>
      </w:r>
    </w:p>
    <w:p>
      <w:pPr>
        <w:spacing w:after="40"/>
        <w:jc w:val="center"/>
      </w:pPr>
      <w:r>
        <w:rPr>
          <w:color w:val="595959"/>
          <w:sz w:val="16"/>
          <w:szCs w:val="16"/>
        </w:rPr>
        <w:t xml:space="preserve">Buyer: Marchwood Property Group Limited  ·  Seller: Westmoreland Property Holdings Limited</w:t>
      </w:r>
    </w:p>
    <w:p>
      <w:pPr>
        <w:spacing w:after="200"/>
        <w:jc w:val="center"/>
      </w:pPr>
      <w:r>
        <w:rPr>
          <w:color w:val="595959"/>
          <w:sz w:val="16"/>
          <w:szCs w:val="16"/>
        </w:rPr>
        <w:t xml:space="preserve">Target exchange: 30 April 2026  ·  Target completion: 15 May 2026  ·  Updated 28 April 2026</w:t>
      </w:r>
    </w:p>
    <w:p>
      <w:pPr>
        <w:spacing w:after="120" w:line="276"/>
      </w:pPr>
      <w:r>
        <w:t xml:space="preserve">WC = Whitfield Carter LLP (Buyer's solicitors); PV = Pendle Voss LLP (Seller's solicitors); MPG = Marchwood Property Group Limited; HMLR = HM Land Registry.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A. Pre-exchange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2040"/>
        <w:gridCol w:w="264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Report on title to client and sign-off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MPG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 — 22 Apr 2026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Searches received and reviewed (local, drainage, environmental, chancel, LLC1/CON29)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CPSE.1 replies and supplemental replies agreed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 — 9 Apr 2026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Tenancy schedule and lease bundle verified against title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Sale contract agreed and engrossed (SCPC 3rd edn 2018)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Agreed v3 — 28 Apr 2026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TR1 form agreed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Rent deposit deed agreed; tenant notices drafted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VAT/TOGC: Buyer VAT registration confirmed; option to tax notified to HMRC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MPG / 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Option notified 24 Apr; awaiting HMRC ack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Capital allowances s.198 election value agreed (£1)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Board resolution of MPG approving acquisition and authorising signatories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MPG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 — 27 Apr 2026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Deposit funds (£2,475,000) in WC client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MPG / 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Cleared 29 Apr 2026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Buildings insurance: noted interest / new policy arranged from 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MPG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 hand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B. 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2040"/>
        <w:gridCol w:w="264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Exchange of contracts (telephone, Law Society Formula B)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 — 30 Apr 2026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Deposit (10%) released to PV as stakeholder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 exchange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Memorandum of exchange recorded on both files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 exchange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C. Pre-completion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2040"/>
        <w:gridCol w:w="264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Completion statement agreed (price, apportionments, retentions, deposits)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Draft circulated 28 Apr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Pre-completion searches: OS1 priority search at HMLR; bankruptcy/company search against Seller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 (within priority period)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Requisitions on title raised and replied to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Completion funds requested from client / drawn under Pennine facility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MPG / 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Balance £22,400,xxx per completion statement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Engrossed transfer (TR1) and rent deposit deed executed by both parties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Authority to date documents on completion obtained from each party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D. Completion (15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2040"/>
        <w:gridCol w:w="264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Completion monies sent to PV; confirmation of receipt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 the day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Transfer dated and released; title deeds/documents released to WC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PV / 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 the day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Keys / management information released; managing agent notified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PV / MPG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 the day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Apportioned sums and retentions dealt with per completion statement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 / PV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 the day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E. Post-completion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2040"/>
        <w:gridCol w:w="264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Notices to tenants of change of landlord and (where relevant) rent deposit holder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Within 5 working days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SDLT return filed and SDLT (£1,227,000) paid; SDLT5 certificate obtained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Within 14 days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Application to register transfer at HMLR (AP1) within OS1 priority period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Within priority period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 charge retention (£125,000) held pending reconciliation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 retention deed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Completed title registered; updated official copies sent to client; file closed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 registration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60"/>
    </w:pPr>
    <w:r>
      <w:rPr>
        <w:color w:val="808080"/>
        <w:sz w:val="13"/>
        <w:szCs w:val="13"/>
      </w:rPr>
      <w:t xml:space="preserve">Whitfield Carter LLP is a limited liability partnership registered in England and Wales and is authorised and regulated by the Solicitors Regulation Authority. Registered office: 22 Bishopsgate, London EC2N 4BQ.</w:t>
    </w:r>
  </w:p>
  <w:p>
    <w:pPr>
      <w:jc w:val="right"/>
    </w:pPr>
    <w:r>
      <w:rPr>
        <w:color w:val="808080"/>
        <w:sz w:val="15"/>
        <w:szCs w:val="15"/>
      </w:rPr>
      <w:t xml:space="preserve">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of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1150" w:hanging="700"/>
      </w:pPr>
    </w:lvl>
    <w:lvl w:ilvl="2" w15:tentative="1">
      <w:start w:val="1"/>
      <w:numFmt w:val="lowerLetter"/>
      <w:lvlText w:val="(%3)"/>
      <w:lvlJc w:val="left"/>
      <w:pPr>
        <w:ind w:left="1750" w:hanging="600"/>
      </w:pPr>
    </w:lvl>
    <w:lvl w:ilvl="3" w15:tentative="1">
      <w:start w:val="1"/>
      <w:numFmt w:val="lowerRoman"/>
      <w:lvlText w:val="(%4)"/>
      <w:lvlJc w:val="left"/>
      <w:pPr>
        <w:ind w:left="2350" w:hanging="6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2026-06-26T02:45:39.644Z</dcterms:created>
  <dcterms:modified xsi:type="dcterms:W3CDTF">2026-06-26T02:45:39.645Z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