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b/>
          <w:bCs/>
          <w:color w:val="1F3864"/>
          <w:sz w:val="30"/>
          <w:szCs w:val="30"/>
        </w:rPr>
        <w:t xml:space="preserve">Whitfield Carter LLP</w:t>
      </w:r>
    </w:p>
    <w:p>
      <w:pPr>
        <w:spacing w:after="40"/>
      </w:pPr>
      <w:r>
        <w:rPr>
          <w:color w:val="595959"/>
          <w:sz w:val="16"/>
          <w:szCs w:val="16"/>
        </w:rPr>
        <w:t xml:space="preserve">22 Bishopsgate, London EC2N 4BQ  ·  DX 122 London  ·  +44 (0)20 7946 0521  ·  whitfieldcarter.com</w:t>
      </w:r>
    </w:p>
    <w:p>
      <w:pPr>
        <w:pBdr>
          <w:bottom w:val="single" w:color="1F3864" w:sz="6" w:space="1"/>
        </w:pBdr>
        <w:spacing w:after="160"/>
      </w:pPr>
      <w:r>
        <w:t xml:space="preserve"/>
      </w:r>
    </w:p>
    <w:p>
      <w:pPr>
        <w:spacing w:after="20"/>
        <w:jc w:val="right"/>
      </w:pPr>
      <w:r>
        <w:rPr>
          <w:sz w:val="18"/>
          <w:szCs w:val="18"/>
        </w:rPr>
        <w:t xml:space="preserve">Our ref: SW/JO/Ember/0136</w:t>
      </w:r>
    </w:p>
    <w:p>
      <w:pPr>
        <w:spacing w:after="160"/>
        <w:jc w:val="right"/>
      </w:pPr>
      <w:r>
        <w:rPr>
          <w:sz w:val="18"/>
          <w:szCs w:val="18"/>
        </w:rPr>
        <w:t xml:space="preserve">24 March 2026</w:t>
      </w:r>
    </w:p>
    <w:p>
      <w:pPr>
        <w:spacing w:after="60"/>
      </w:pPr>
      <w:r>
        <w:t xml:space="preserve">Mr Daniel Hartley
Managing Director
Marchwood Property Group Limited
55 Baker Street
London W1U 8EW</w:t>
      </w:r>
    </w:p>
    <w:p>
      <w:pPr>
        <w:spacing w:after="160"/>
      </w:pPr>
      <w:r>
        <w:t xml:space="preserve">Sent by email and post</w:t>
      </w:r>
    </w:p>
    <w:p>
      <w:pPr>
        <w:spacing w:after="120"/>
      </w:pPr>
      <w:r>
        <w:t xml:space="preserve">Dear Daniel</w:t>
      </w:r>
    </w:p>
    <w:p>
      <w:pPr>
        <w:spacing w:after="160"/>
      </w:pPr>
      <w:r>
        <w:rPr>
          <w:b/>
          <w:bCs/>
        </w:rPr>
        <w:t xml:space="preserve">Project Ember — proposed acquisition of Ashby House, 40 Curzon Street, London W1J 7TL</w:t>
      </w:r>
    </w:p>
    <w:p>
      <w:pPr>
        <w:spacing w:after="120" w:line="276"/>
      </w:pPr>
      <w:r>
        <w:t xml:space="preserve">Thank you for instructing Whitfield Carter LLP to act for Marchwood Property Group Limited (the “Company” or “you”) in connection with the proposed acquisition of the freehold investment known as Ashby House, 40 Curzon Street, London W1J 7TL (the “Property”) from Westmoreland Property Holdings Limited (the “Seller”) at a price of £24,750,000. This letter, together with the enclosed terms of business, sets out the basis on which we will act.</w:t>
      </w:r>
    </w:p>
    <w:p>
      <w:pPr>
        <w:pStyle w:val="ListParagraph"/>
        <w:numPr>
          <w:ilvl w:val="0"/>
          <w:numId w:val="2"/>
        </w:numPr>
        <w:spacing w:after="120" w:line="276"/>
      </w:pPr>
      <w:r>
        <w:t xml:space="preserve">Scope of our work</w:t>
      </w:r>
    </w:p>
    <w:p>
      <w:pPr>
        <w:spacing w:after="120" w:line="276"/>
      </w:pPr>
      <w:r>
        <w:t xml:space="preserve">We will: (a) carry out pre-contract due diligence on the title, the seven occupational leases and the data-room documents; (b) raise and review replies to CPSE.1 (version 3.8) and supplemental enquiries; (c) carry out and report on the usual searches; (d) negotiate and settle the sale contract, transfer (TR1), rent deposit deed and ancillary documents; (e) advise on the VAT/TOGC treatment and the section 198 capital allowances election; (f) advise on Stamp Duty Land Tax; and (g) deal with completion, post-completion registration at HM Land Registry and SDLT submission.</w:t>
      </w:r>
    </w:p>
    <w:p>
      <w:pPr>
        <w:spacing w:after="120" w:line="276"/>
      </w:pPr>
      <w:r>
        <w:t xml:space="preserve">Our retainer does not extend to tax structuring beyond SDLT and the VAT/TOGC analysis described above, building or environmental surveys, valuation, or any financing documentation, unless separately instructed. We understand that funding will be provided from the Company's own resources and an existing facility with Pennine Business Bank plc; if security is required we will agree a separate scope and fee for the lender's solicitors' requirements.</w:t>
      </w:r>
    </w:p>
    <w:p>
      <w:pPr>
        <w:pStyle w:val="ListParagraph"/>
        <w:numPr>
          <w:ilvl w:val="0"/>
          <w:numId w:val="2"/>
        </w:numPr>
        <w:spacing w:after="120" w:line="276"/>
      </w:pPr>
      <w:r>
        <w:t xml:space="preserve">Your team</w:t>
      </w:r>
    </w:p>
    <w:p>
      <w:pPr>
        <w:spacing w:after="120" w:line="276"/>
      </w:pPr>
      <w:r>
        <w:t xml:space="preserve">The matter will be led by Sarah Whitfield (Partner, charged at £620 per hour). She will be assisted by James Osei (Senior Associate, £440 per hour) who will handle the day-to-day conduct, and Elena Marchetti (Associate, £310 per hour) on title and lease review. Rates are exclusive of VAT and are reviewed each January.</w:t>
      </w:r>
    </w:p>
    <w:p>
      <w:pPr>
        <w:pStyle w:val="ListParagraph"/>
        <w:numPr>
          <w:ilvl w:val="0"/>
          <w:numId w:val="2"/>
        </w:numPr>
        <w:spacing w:after="120" w:line="276"/>
      </w:pPr>
      <w:r>
        <w:t xml:space="preserve">Fees and disbursements</w:t>
      </w:r>
    </w:p>
    <w:p>
      <w:pPr>
        <w:spacing w:after="120" w:line="276"/>
      </w:pPr>
      <w:r>
        <w:t xml:space="preserve">We estimate our fees for the work described in paragraph 1 will be in the region of £42,000 to £48,000 plus VAT, assuming a single exchange and completion and no unforeseen title or lease complexity. This is an estimate and not a fixed fee; we will tell you promptly if it appears the estimate will be exceeded. Disbursements (searches, Land Registry fees, and the like) are estimated at a further £1,800. SDLT of £1,227,000 will be payable by you on completion (calculated on the non-residential rates on a price of £24,750,000).</w:t>
      </w:r>
    </w:p>
    <w:p>
      <w:pPr>
        <w:pStyle w:val="ListParagraph"/>
        <w:numPr>
          <w:ilvl w:val="0"/>
          <w:numId w:val="2"/>
        </w:numPr>
        <w:spacing w:after="120" w:line="276"/>
      </w:pPr>
      <w:r>
        <w:t xml:space="preserve">Billing</w:t>
      </w:r>
    </w:p>
    <w:p>
      <w:pPr>
        <w:spacing w:after="120" w:line="276"/>
      </w:pPr>
      <w:r>
        <w:t xml:space="preserve">We will bill on exchange and again on completion, and may render interim bills monthly if the matter is protracted. Bills are payable within 14 days. We will ask you for £5,000 on account of disbursements before searches are ordered.</w:t>
      </w:r>
    </w:p>
    <w:p>
      <w:pPr>
        <w:pStyle w:val="ListParagraph"/>
        <w:numPr>
          <w:ilvl w:val="0"/>
          <w:numId w:val="2"/>
        </w:numPr>
        <w:spacing w:after="120" w:line="276"/>
      </w:pPr>
      <w:r>
        <w:t xml:space="preserve">Anti-money-laundering and source of funds</w:t>
      </w:r>
    </w:p>
    <w:p>
      <w:pPr>
        <w:spacing w:after="120" w:line="276"/>
      </w:pPr>
      <w:r>
        <w:t xml:space="preserve">We are required to verify the identity of the Company and its beneficial owners and to understand the source of the purchase monies. We have completed electronic verification for the Company; please provide evidence of the source of the £2,475,000 deposit and the completion balance when available.</w:t>
      </w:r>
    </w:p>
    <w:p>
      <w:pPr>
        <w:pStyle w:val="ListParagraph"/>
        <w:numPr>
          <w:ilvl w:val="0"/>
          <w:numId w:val="2"/>
        </w:numPr>
        <w:spacing w:after="120" w:line="276"/>
      </w:pPr>
      <w:r>
        <w:t xml:space="preserve">Conflicts and confidentiality</w:t>
      </w:r>
    </w:p>
    <w:p>
      <w:pPr>
        <w:spacing w:after="120" w:line="276"/>
      </w:pPr>
      <w:r>
        <w:t xml:space="preserve">We have carried out a conflict check and are not aware of any conflict preventing us from acting. We will keep your affairs confidential subject to our regulatory obligations.</w:t>
      </w:r>
    </w:p>
    <w:p>
      <w:pPr>
        <w:pStyle w:val="ListParagraph"/>
        <w:numPr>
          <w:ilvl w:val="0"/>
          <w:numId w:val="2"/>
        </w:numPr>
        <w:spacing w:after="120" w:line="276"/>
      </w:pPr>
      <w:r>
        <w:t xml:space="preserve">Regulatory information</w:t>
      </w:r>
    </w:p>
    <w:p>
      <w:pPr>
        <w:spacing w:after="120" w:line="276"/>
      </w:pPr>
      <w:r>
        <w:t xml:space="preserve">Whitfield Carter LLP is authorised and regulated by the Solicitors Regulation Authority (SRA number 556213). A copy of our complaints procedure is available on request. You may also have the right to complain to the Legal Ombudsman.</w:t>
      </w:r>
    </w:p>
    <w:p>
      <w:pPr>
        <w:pStyle w:val="ListParagraph"/>
        <w:numPr>
          <w:ilvl w:val="0"/>
          <w:numId w:val="2"/>
        </w:numPr>
        <w:spacing w:after="120" w:line="276"/>
      </w:pPr>
      <w:r>
        <w:t xml:space="preserve">Acceptance</w:t>
      </w:r>
    </w:p>
    <w:p>
      <w:pPr>
        <w:spacing w:after="120" w:line="276"/>
      </w:pPr>
      <w:r>
        <w:t xml:space="preserve">Please confirm your acceptance of these terms by signing and returning the enclosed copy of this letter. We are very pleased to be acting for you on this acquisition and look forward to a smooth transaction.</w:t>
      </w:r>
    </w:p>
    <w:p>
      <w:pPr>
        <w:spacing w:after="80"/>
      </w:pPr>
      <w:r>
        <w:t xml:space="preserve"/>
      </w:r>
    </w:p>
    <w:p>
      <w:pPr>
        <w:spacing w:after="240"/>
      </w:pPr>
      <w:r>
        <w:t xml:space="preserve">Yours sincerely</w:t>
      </w:r>
    </w:p>
    <w:p>
      <w:pPr>
        <w:spacing w:after="240"/>
      </w:pPr>
      <w:r>
        <w:t xml:space="preserve">Sarah Whitfield
Partner
For and on behalf of Whitfield Carter LLP
sarah.whitfield@whitfieldcarter.com  ·  +44 (0)20 7946 0521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val="false"/>
        </w:trPr>
        <w:tc>
          <w:tcPr>
            <w:tcW w:type="dxa" w:w="9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b w:val="false"/>
                <w:bCs w:val="false"/>
              </w:rPr>
              <w:t xml:space="preserve">I confirm that Marchwood Property Group Limited accepts the terms set out in this letter and the enclosed terms of business.</w:t>
            </w:r>
          </w:p>
        </w:tc>
      </w:tr>
      <w:tr>
        <w:trPr>
          <w:tblHeader w:val="false"/>
        </w:trPr>
        <w:tc>
          <w:tcPr>
            <w:tcW w:type="dxa" w:w="9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b w:val="false"/>
                <w:bCs w:val="false"/>
              </w:rPr>
              <w:t xml:space="preserve">Signed: ......................................   Name: Daniel Hartley   Title: Managing Director   Date: ..................</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6"/>
      </w:pBdr>
      <w:spacing w:before="60"/>
    </w:pPr>
    <w:r>
      <w:rPr>
        <w:color w:val="808080"/>
        <w:sz w:val="13"/>
        <w:szCs w:val="13"/>
      </w:rPr>
      <w:t xml:space="preserve">Whitfield Carter LLP is a limited liability partnership registered in England and Wales and is authorised and regulated by the Solicitors Regulation Authority. Registered office: 22 Bishopsgate, London EC2N 4BQ.</w:t>
    </w:r>
  </w:p>
  <w:p>
    <w:pPr>
      <w:jc w:val="right"/>
    </w:pPr>
    <w:r>
      <w:rPr>
        <w:color w:val="808080"/>
        <w:sz w:val="15"/>
        <w:szCs w:val="15"/>
      </w:rPr>
      <w:t xml:space="preserve">Page </w:t>
    </w:r>
    <w:r>
      <w:rPr>
        <w:color w:val="808080"/>
        <w:sz w:val="15"/>
        <w:szCs w:val="15"/>
      </w:rPr>
      <w:fldChar w:fldCharType="begin"/>
      <w:instrText xml:space="preserve">PAGE</w:instrText>
      <w:fldChar w:fldCharType="separate"/>
      <w:fldChar w:fldCharType="end"/>
    </w:r>
    <w:r>
      <w:rPr>
        <w:color w:val="808080"/>
        <w:sz w:val="15"/>
        <w:szCs w:val="15"/>
      </w:rPr>
      <w:t xml:space="preserve"> of </w:t>
    </w:r>
    <w:r>
      <w:rPr>
        <w:color w:val="808080"/>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600"/>
      </w:pPr>
    </w:lvl>
    <w:lvl w:ilvl="1" w15:tentative="1">
      <w:start w:val="1"/>
      <w:numFmt w:val="decimal"/>
      <w:lvlText w:val="%1.%2"/>
      <w:lvlJc w:val="left"/>
      <w:pPr>
        <w:ind w:left="1150" w:hanging="700"/>
      </w:pPr>
    </w:lvl>
    <w:lvl w:ilvl="2" w15:tentative="1">
      <w:start w:val="1"/>
      <w:numFmt w:val="lowerLetter"/>
      <w:lvlText w:val="(%3)"/>
      <w:lvlJc w:val="left"/>
      <w:pPr>
        <w:ind w:left="1750" w:hanging="600"/>
      </w:pPr>
    </w:lvl>
    <w:lvl w:ilvl="3" w15:tentative="1">
      <w:start w:val="1"/>
      <w:numFmt w:val="lowerRoman"/>
      <w:lvlText w:val="(%4)"/>
      <w:lvlJc w:val="left"/>
      <w:pPr>
        <w:ind w:left="2350" w:hanging="600"/>
      </w:pPr>
    </w:lvl>
  </w:abstractNum>
  <w:abstractNum w:abstractNumId="3" w15:restartNumberingAfterBreak="0">
    <w:multiLevelType w:val="hybridMultilevel"/>
    <w:lvl w:ilvl="0" w15:tentative="1">
      <w:start w:val="1"/>
      <w:numFmt w:val="bullet"/>
      <w:lvlText w:val="•"/>
      <w:lvlJc w:val="left"/>
      <w:pPr>
        <w:ind w:left="60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28"/>
      <w:szCs w:val="28"/>
    </w:rPr>
  </w:style>
  <w:style w:type="paragraph" w:styleId="Heading2">
    <w:name w:val="Heading 2"/>
    <w:basedOn w:val="Normal"/>
    <w:next w:val="Normal"/>
    <w:qFormat/>
    <w:pPr>
      <w:spacing w:after="120" w:before="180"/>
      <w:outlineLvl w:val="1"/>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2026-06-26T02:45:39.517Z</dcterms:created>
  <dcterms:modified xsi:type="dcterms:W3CDTF">2026-06-26T02:45:39.518Z</dcterms:modified>
</cp:coreProperties>
</file>

<file path=docProps/custom.xml><?xml version="1.0" encoding="utf-8"?>
<Properties xmlns="http://schemas.openxmlformats.org/officeDocument/2006/custom-properties" xmlns:vt="http://schemas.openxmlformats.org/officeDocument/2006/docPropsVTypes"/>
</file>