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PROJECT EMBER</w:t>
      </w:r>
    </w:p>
    <w:p>
      <w:pPr>
        <w:spacing w:after="240"/>
        <w:jc w:val="center"/>
      </w:pPr>
      <w:r>
        <w:rPr>
          <w:i/>
          <w:iCs/>
          <w:sz w:val="20"/>
          <w:szCs w:val="20"/>
        </w:rPr>
        <w:t xml:space="preserve">Heads of Terms — Acquisition of Ashby House, 40 Curzon Street, London W1J 7TL</w:t>
      </w:r>
    </w:p>
    <w:p>
      <w:pPr>
        <w:spacing w:after="240"/>
        <w:jc w:val="center"/>
      </w:pPr>
      <w:r>
        <w:rPr>
          <w:i/>
          <w:iCs/>
          <w:sz w:val="18"/>
          <w:szCs w:val="18"/>
        </w:rPr>
        <w:t xml:space="preserve">Subject to contract · Not legally binding (save for paragraphs 13 to 15) · 27 March 2026</w:t>
      </w:r>
    </w:p>
    <w:p>
      <w:pPr>
        <w:spacing w:after="120" w:line="276"/>
      </w:pPr>
      <w:r>
        <w:t xml:space="preserve">These heads of terms record the principal terms provisionally agreed between the parties in relation to the proposed sale and purchase of the freehold investment known as Ashby House, 40 Curzon Street, London W1J 7TL (the “Property”). They are subject to contract and, save for paragraphs 13 to 15, create no legally binding obligations.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Item</w:t>
            </w:r>
          </w:p>
        </w:tc>
        <w:tc>
          <w:tcPr>
            <w:tcW w:type="dxa" w:w="6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Provisionally agreed terms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Seller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Westmoreland Property Holdings Limited (company no. 06642188), of 1 Stanhope Gate, London W1K 1AF.</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Buyer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Marchwood Property Group Limited (company no. 07215566), of 55 Baker Street, London W1U 8EW, or a wholly-owned special purpose vehicle to be nominated by the Buyer prior to exchange.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Property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freehold property known as Ashby House, 40 Curzon Street, London W1J 7TL, registered at HM Land Registry under title number NGL612904, together with the benefit of the occupational leases set out in the tenancy schedule.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Interest sold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Freehold, sold subject to and with the benefit of the seven occupational leases.</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Purchase price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£24,750,000 (twenty-four million seven hundred and fifty thousand pounds), exclusive of VAT, reflecting a net initial yield of approximately 6.10% after standard purchaser's costs of 6.79%.</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VAT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Property has been opted to tax. The sale is intended to be treated as a transfer of a going concern (TOGC). The Buyer will, before exchange, opt to tax and notify HMRC, and give the TOGC warranties required by the Seller.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Deposit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of the purchase price (£2,475,000) payable on exchange, to be held by the Seller's solicitors as stakeholder.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Completion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20 working days after exchange, or earlier by agreement. Target exchange end April 2026; target completion mid-May 2026.</w:t>
            </w:r>
          </w:p>
        </w:tc>
      </w:tr>
    </w:tbl>
    <w:p>
      <w:pPr>
        <w:spacing w:after="80"/>
      </w:pPr>
      <w:r>
        <w:t xml:space="preserve"/>
      </w:r>
    </w:p>
    <w:p>
      <w:pPr>
        <w:pStyle w:val="ListParagraph"/>
        <w:numPr>
          <w:ilvl w:val="0"/>
          <w:numId w:val="2"/>
        </w:numPr>
        <w:spacing w:after="120" w:line="276"/>
      </w:pPr>
      <w:r>
        <w:t xml:space="preserve">Title and tenancies</w:t>
      </w:r>
    </w:p>
    <w:p>
      <w:pPr>
        <w:spacing w:after="120" w:line="276"/>
      </w:pPr>
      <w:r>
        <w:t xml:space="preserve">The Property is sold subject to and with the benefit of the seven occupational leases summarised in the tenancy schedule annexed to these heads of terms. The Seller will procure that no lease is varied, surrendered or determined, and no licence or consent granted, between the date of these heads of terms and completion without the Buyer's prior written consent (not to be unreasonably withheld).</w:t>
      </w:r>
    </w:p>
    <w:p>
      <w:pPr>
        <w:pStyle w:val="ListParagraph"/>
        <w:numPr>
          <w:ilvl w:val="0"/>
          <w:numId w:val="2"/>
        </w:numPr>
        <w:spacing w:after="120" w:line="276"/>
      </w:pPr>
      <w:r>
        <w:t xml:space="preserve">Service charge and management</w:t>
      </w:r>
    </w:p>
    <w:p>
      <w:pPr>
        <w:spacing w:after="120" w:line="276"/>
      </w:pPr>
      <w:r>
        <w:t xml:space="preserve">A service charge reconciliation to the completion date will be provided. A retention of £125,000 from the purchase price will be held by the Buyer's solicitors pending agreement of the service charge reconciliation for the year ending 24 March 2026, to be released in accordance with a retention deed in the agreed form.</w:t>
      </w:r>
    </w:p>
    <w:p>
      <w:pPr>
        <w:pStyle w:val="ListParagraph"/>
        <w:numPr>
          <w:ilvl w:val="0"/>
          <w:numId w:val="2"/>
        </w:numPr>
        <w:spacing w:after="120" w:line="276"/>
      </w:pPr>
      <w:r>
        <w:t xml:space="preserve">Rent deposits</w:t>
      </w:r>
    </w:p>
    <w:p>
      <w:pPr>
        <w:spacing w:after="120" w:line="276"/>
      </w:pPr>
      <w:r>
        <w:t xml:space="preserve">Rent deposits totalling £318,400 are held by the Seller in respect of two tenants (Aldous Capital LLP and Brindley Marketing Limited). The benefit of, and monies standing to the credit of, those rent deposits will be transferred to the Buyer on completion under a rent deposit deed in the agreed form, with appropriate notices given to the relevant tenants.</w:t>
      </w:r>
    </w:p>
    <w:p>
      <w:pPr>
        <w:pStyle w:val="ListParagraph"/>
        <w:numPr>
          <w:ilvl w:val="0"/>
          <w:numId w:val="2"/>
        </w:numPr>
        <w:spacing w:after="120" w:line="276"/>
      </w:pPr>
      <w:r>
        <w:t xml:space="preserve">Apportionments</w:t>
      </w:r>
    </w:p>
    <w:p>
      <w:pPr>
        <w:spacing w:after="120" w:line="276"/>
      </w:pPr>
      <w:r>
        <w:t xml:space="preserve">Rents, service charge and insurance rent will be apportioned on completion on the basis that the Seller is entitled to income up to (but excluding) the completion date and the Buyer thereafter. Rents are payable quarterly in advance on the usual quarter days; the relevant quarter day is 25 March 2026.</w:t>
      </w:r>
    </w:p>
    <w:p>
      <w:pPr>
        <w:pStyle w:val="ListParagraph"/>
        <w:numPr>
          <w:ilvl w:val="0"/>
          <w:numId w:val="2"/>
        </w:numPr>
        <w:spacing w:after="120" w:line="276"/>
      </w:pPr>
      <w:r>
        <w:t xml:space="preserve">Searches and enquiries</w:t>
      </w:r>
    </w:p>
    <w:p>
      <w:pPr>
        <w:spacing w:after="120" w:line="276"/>
      </w:pPr>
      <w:r>
        <w:t xml:space="preserve">The Buyer's solicitors will carry out the usual pre-contract searches and raise CPSE.1 (version 3.8) and any supplemental enquiries. The Seller will reply to enquiries promptly and provide the documents listed in the data-room index.</w:t>
      </w:r>
    </w:p>
    <w:p>
      <w:pPr>
        <w:pStyle w:val="ListParagraph"/>
        <w:numPr>
          <w:ilvl w:val="0"/>
          <w:numId w:val="2"/>
        </w:numPr>
        <w:spacing w:after="120" w:line="276"/>
      </w:pPr>
      <w:r>
        <w:t xml:space="preserve">Conditions of sale</w:t>
      </w:r>
    </w:p>
    <w:p>
      <w:pPr>
        <w:spacing w:after="120" w:line="276"/>
      </w:pPr>
      <w:r>
        <w:t xml:space="preserve">The contract will incorporate the Standard Commercial Property Conditions (Third Edition — 2018 Revision), as amended by the special conditions to be agreed. Contract rate: 4% above the base rate of Barclays Bank plc.</w:t>
      </w:r>
    </w:p>
    <w:p>
      <w:pPr>
        <w:pStyle w:val="ListParagraph"/>
        <w:numPr>
          <w:ilvl w:val="0"/>
          <w:numId w:val="2"/>
        </w:numPr>
        <w:spacing w:after="120" w:line="276"/>
      </w:pPr>
      <w:r>
        <w:t xml:space="preserve">Warranties and TOGC</w:t>
      </w:r>
    </w:p>
    <w:p>
      <w:pPr>
        <w:spacing w:after="120" w:line="276"/>
      </w:pPr>
      <w:r>
        <w:t xml:space="preserve">The Seller will give the limited title and TOGC warranties standard for an institutional investment sale. There will be no environmental or development warranties. The Buyer relies on its own searches, surveys and replies to enquiries.</w:t>
      </w:r>
    </w:p>
    <w:p>
      <w:pPr>
        <w:pStyle w:val="ListParagraph"/>
        <w:numPr>
          <w:ilvl w:val="0"/>
          <w:numId w:val="2"/>
        </w:numPr>
        <w:spacing w:after="120" w:line="276"/>
      </w:pPr>
      <w:r>
        <w:t xml:space="preserve">Capital allowances</w:t>
      </w:r>
    </w:p>
    <w:p>
      <w:pPr>
        <w:spacing w:after="120" w:line="276"/>
      </w:pPr>
      <w:r>
        <w:t xml:space="preserve">The contract will contain a capital allowances election under section 198 of the Capital Allowances Act 2001 in respect of fixtures, on terms to be agreed, with a nominal election value of £1 unless the parties agree otherwise following CPSE.1 (Supplemental) replies.</w:t>
      </w:r>
    </w:p>
    <w:p>
      <w:pPr>
        <w:pStyle w:val="ListParagraph"/>
        <w:numPr>
          <w:ilvl w:val="0"/>
          <w:numId w:val="2"/>
        </w:numPr>
        <w:spacing w:after="120" w:line="276"/>
      </w:pPr>
      <w:r>
        <w:t xml:space="preserve">Condition of the Property</w:t>
      </w:r>
    </w:p>
    <w:p>
      <w:pPr>
        <w:spacing w:after="120" w:line="276"/>
      </w:pPr>
      <w:r>
        <w:t xml:space="preserve">The Property is sold in its present physical state and condition. The Buyer will commission its own building survey and measured survey; the Seller gives no warranty as to condition, repair or measurement.</w:t>
      </w:r>
    </w:p>
    <w:p>
      <w:pPr>
        <w:pStyle w:val="ListParagraph"/>
        <w:numPr>
          <w:ilvl w:val="0"/>
          <w:numId w:val="2"/>
        </w:numPr>
        <w:spacing w:after="120" w:line="276"/>
      </w:pPr>
      <w:r>
        <w:t xml:space="preserve">Conduct pending completion</w:t>
      </w:r>
    </w:p>
    <w:p>
      <w:pPr>
        <w:spacing w:after="120" w:line="276"/>
      </w:pPr>
      <w:r>
        <w:t xml:space="preserve">Between exchange and completion the Seller will manage the Property in accordance with the principles of good estate management, collect rents in the ordinary course, and not (without the Buyer's consent) settle any rent review, grant any concession, or commence forfeiture proceedings.</w:t>
      </w:r>
    </w:p>
    <w:p>
      <w:pPr>
        <w:pStyle w:val="ListParagraph"/>
        <w:numPr>
          <w:ilvl w:val="0"/>
          <w:numId w:val="2"/>
        </w:numPr>
        <w:spacing w:after="120" w:line="276"/>
      </w:pPr>
      <w:r>
        <w:t xml:space="preserve">Costs of the transaction</w:t>
      </w:r>
    </w:p>
    <w:p>
      <w:pPr>
        <w:spacing w:after="120" w:line="276"/>
      </w:pPr>
      <w:r>
        <w:t xml:space="preserve">Each party bears its own professional costs. The Buyer is responsible for Stamp Duty Land Tax and Land Registry fees.</w:t>
      </w:r>
    </w:p>
    <w:p>
      <w:pPr>
        <w:pStyle w:val="ListParagraph"/>
        <w:numPr>
          <w:ilvl w:val="0"/>
          <w:numId w:val="2"/>
        </w:numPr>
        <w:spacing w:after="120" w:line="276"/>
      </w:pPr>
      <w:r>
        <w:t xml:space="preserve">Solicitors</w:t>
      </w:r>
    </w:p>
    <w:p>
      <w:pPr>
        <w:spacing w:after="120" w:line="276"/>
      </w:pPr>
      <w:r>
        <w:t xml:space="preserve">Buyer's solicitors: Whitfield Carter LLP, 22 Bishopsgate, London EC2N 4BQ (ref: SW/JO/Ember). Seller's solicitors: Pendle Voss LLP, 8 Old Jewry, London EC2R 8DN (ref: DP/RV/WM-Ashby).</w:t>
      </w:r>
    </w:p>
    <w:p>
      <w:pPr>
        <w:spacing w:after="80"/>
      </w:pPr>
      <w:r>
        <w:t xml:space="preserve"/>
      </w:r>
    </w:p>
    <w:p>
      <w:pPr>
        <w:spacing w:after="120"/>
      </w:pPr>
      <w:r>
        <w:rPr>
          <w:b/>
          <w:bCs/>
        </w:rPr>
        <w:t xml:space="preserve">The following paragraphs (13 to 15) are intended to be legally binding.</w:t>
      </w:r>
    </w:p>
    <w:p>
      <w:pPr>
        <w:pStyle w:val="ListParagraph"/>
        <w:numPr>
          <w:ilvl w:val="0"/>
          <w:numId w:val="2"/>
        </w:numPr>
        <w:spacing w:after="120" w:line="276"/>
      </w:pPr>
      <w:r>
        <w:t xml:space="preserve">Exclusivity</w:t>
      </w:r>
    </w:p>
    <w:p>
      <w:pPr>
        <w:spacing w:after="120" w:line="276"/>
      </w:pPr>
      <w:r>
        <w:t xml:space="preserve">In consideration of the Buyer incurring costs in progressing the transaction, the Seller agrees that for the period of six weeks from the date of these heads of terms (the “Exclusivity Period”) it will not, and will procure that its agents and advisers will not, solicit, negotiate or accept any offer from, or provide information to, any third party in connection with a disposal of the Property.</w:t>
      </w:r>
    </w:p>
    <w:p>
      <w:pPr>
        <w:pStyle w:val="ListParagraph"/>
        <w:numPr>
          <w:ilvl w:val="0"/>
          <w:numId w:val="2"/>
        </w:numPr>
        <w:spacing w:after="120" w:line="276"/>
      </w:pPr>
      <w:r>
        <w:t xml:space="preserve">Costs on withdrawal</w:t>
      </w:r>
    </w:p>
    <w:p>
      <w:pPr>
        <w:spacing w:after="120" w:line="276"/>
      </w:pPr>
      <w:r>
        <w:t xml:space="preserve">If the Seller withdraws from or breaches the exclusivity in paragraph 13 other than where the Buyer has failed to proceed on the terms recorded here, the Seller will reimburse the Buyer's reasonable and properly incurred legal and professional costs up to a cap of £35,000 plus VAT.</w:t>
      </w:r>
    </w:p>
    <w:p>
      <w:pPr>
        <w:pStyle w:val="ListParagraph"/>
        <w:numPr>
          <w:ilvl w:val="0"/>
          <w:numId w:val="2"/>
        </w:numPr>
        <w:spacing w:after="120" w:line="276"/>
      </w:pPr>
      <w:r>
        <w:t xml:space="preserve">Confidentiality</w:t>
      </w:r>
    </w:p>
    <w:p>
      <w:pPr>
        <w:spacing w:after="120" w:line="276"/>
      </w:pPr>
      <w:r>
        <w:t xml:space="preserve">Each party will keep the existence and terms of the proposed transaction confidential, save for disclosure to its professional advisers, funders and as required by law or regulation.</w:t>
      </w:r>
    </w:p>
    <w:p>
      <w:pPr>
        <w:spacing w:after="80"/>
      </w:pPr>
      <w:r>
        <w:t xml:space="preserve"/>
      </w:r>
    </w:p>
    <w:p>
      <w:pPr>
        <w:spacing w:after="120" w:before="240"/>
      </w:pPr>
      <w:r>
        <w:rPr>
          <w:b/>
          <w:bCs/>
        </w:rPr>
        <w:t xml:space="preserve">Agreed in principle, subject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For and on behalf of the Seller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For and on behalf of the Buyer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Westmoreland Property Holdings Limited</w:t>
            </w:r>
          </w:p>
          <w:p>
            <w:pPr>
              <w:spacing w:after="0"/>
            </w:pPr>
            <w:r>
              <w:rPr>
                <w:b w:val="false"/>
                <w:bCs w:val="false"/>
              </w:rPr>
              <w:t xml:space="preserve"/>
            </w:r>
          </w:p>
          <w:p>
            <w:pPr>
              <w:spacing w:after="0"/>
            </w:pPr>
            <w:r>
              <w:rPr>
                <w:b w:val="false"/>
                <w:bCs w:val="false"/>
              </w:rPr>
              <w:t xml:space="preserve">Signed: ......................................</w:t>
            </w:r>
          </w:p>
          <w:p>
            <w:pPr>
              <w:spacing w:after="0"/>
            </w:pPr>
            <w:r>
              <w:rPr>
                <w:b w:val="false"/>
                <w:bCs w:val="false"/>
              </w:rPr>
              <w:t xml:space="preserve">Name: Gerald Westmoreland</w:t>
            </w:r>
          </w:p>
          <w:p>
            <w:pPr>
              <w:spacing w:after="0"/>
            </w:pPr>
            <w:r>
              <w:rPr>
                <w:b w:val="false"/>
                <w:bCs w:val="false"/>
              </w:rPr>
              <w:t xml:space="preserve">Title: Director</w:t>
            </w:r>
          </w:p>
          <w:p>
            <w:pPr>
              <w:spacing w:after="0"/>
            </w:pPr>
            <w:r>
              <w:rPr>
                <w:b w:val="false"/>
                <w:bCs w:val="false"/>
              </w:rPr>
              <w:t xml:space="preserve">Date: 27 March 2026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Marchwood Property Group Limited</w:t>
            </w:r>
          </w:p>
          <w:p>
            <w:pPr>
              <w:spacing w:after="0"/>
            </w:pPr>
            <w:r>
              <w:rPr>
                <w:b w:val="false"/>
                <w:bCs w:val="false"/>
              </w:rPr>
              <w:t xml:space="preserve"/>
            </w:r>
          </w:p>
          <w:p>
            <w:pPr>
              <w:spacing w:after="0"/>
            </w:pPr>
            <w:r>
              <w:rPr>
                <w:b w:val="false"/>
                <w:bCs w:val="false"/>
              </w:rPr>
              <w:t xml:space="preserve">Signed: ......................................</w:t>
            </w:r>
          </w:p>
          <w:p>
            <w:pPr>
              <w:spacing w:after="0"/>
            </w:pPr>
            <w:r>
              <w:rPr>
                <w:b w:val="false"/>
                <w:bCs w:val="false"/>
              </w:rPr>
              <w:t xml:space="preserve">Name: Daniel Hartley</w:t>
            </w:r>
          </w:p>
          <w:p>
            <w:pPr>
              <w:spacing w:after="0"/>
            </w:pPr>
            <w:r>
              <w:rPr>
                <w:b w:val="false"/>
                <w:bCs w:val="false"/>
              </w:rPr>
              <w:t xml:space="preserve">Title: Managing Director</w:t>
            </w:r>
          </w:p>
          <w:p>
            <w:pPr>
              <w:spacing w:after="0"/>
            </w:pPr>
            <w:r>
              <w:rPr>
                <w:b w:val="false"/>
                <w:bCs w:val="false"/>
              </w:rPr>
              <w:t xml:space="preserve">Date: 27 March 2026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60"/>
    </w:pPr>
    <w:r>
      <w:rPr>
        <w:color w:val="808080"/>
        <w:sz w:val="13"/>
        <w:szCs w:val="13"/>
      </w:rPr>
      <w:t xml:space="preserve">Whitfield Carter LLP is a limited liability partnership registered in England and Wales and is authorised and regulated by the Solicitors Regulation Authority. Registered office: 22 Bishopsgate, London EC2N 4BQ.</w:t>
    </w:r>
  </w:p>
  <w:p>
    <w:pPr>
      <w:jc w:val="right"/>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700"/>
      </w:pPr>
    </w:lvl>
    <w:lvl w:ilvl="2" w15:tentative="1">
      <w:start w:val="1"/>
      <w:numFmt w:val="lowerLetter"/>
      <w:lvlText w:val="(%3)"/>
      <w:lvlJc w:val="left"/>
      <w:pPr>
        <w:ind w:left="1750" w:hanging="600"/>
      </w:pPr>
    </w:lvl>
    <w:lvl w:ilvl="3" w15:tentative="1">
      <w:start w:val="1"/>
      <w:numFmt w:val="lowerRoman"/>
      <w:lvlText w:val="(%4)"/>
      <w:lvlJc w:val="left"/>
      <w:pPr>
        <w:ind w:left="2350" w:hanging="6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2026-06-26T02:38:07.123Z</dcterms:created>
  <dcterms:modified xsi:type="dcterms:W3CDTF">2026-06-26T02:38:07.123Z</dcterms:modified>
</cp:coreProperties>
</file>

<file path=docProps/custom.xml><?xml version="1.0" encoding="utf-8"?>
<Properties xmlns="http://schemas.openxmlformats.org/officeDocument/2006/custom-properties" xmlns:vt="http://schemas.openxmlformats.org/officeDocument/2006/docPropsVTypes"/>
</file>