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2026</w:t>
      </w:r>
    </w:p>
    <w:p>
      <w:pPr>
        <w:spacing w:after="80"/>
        <w:jc w:val="center"/>
      </w:pPr>
      <w:r>
        <w:rPr>
          <w:b/>
          <w:bCs/>
          <w:sz w:val="30"/>
          <w:szCs w:val="30"/>
        </w:rPr>
        <w:t xml:space="preserve">RENT DEPOSIT DEED</w:t>
      </w:r>
    </w:p>
    <w:p>
      <w:pPr>
        <w:spacing w:after="40"/>
        <w:jc w:val="center"/>
      </w:pPr>
      <w:r>
        <w:rPr>
          <w:i/>
          <w:iCs/>
          <w:sz w:val="18"/>
          <w:szCs w:val="18"/>
        </w:rPr>
        <w:t xml:space="preserve">relating to the rent deposits held in respect of</w:t>
      </w:r>
    </w:p>
    <w:p>
      <w:pPr>
        <w:spacing w:after="240"/>
        <w:jc w:val="center"/>
      </w:pPr>
      <w:r>
        <w:rPr>
          <w:sz w:val="20"/>
          <w:szCs w:val="20"/>
        </w:rPr>
        <w:t xml:space="preserve">Ashby House, 40 Curzon Street, London W1J 7TL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MARCHWOOD PROPERTY GROUP LIMITED (the Landlord)</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 and BRINDLEY MARKETING LIMITED (the Tenants)</w:t>
            </w:r>
          </w:p>
        </w:tc>
      </w:tr>
    </w:tbl>
    <w:p>
      <w:pPr>
        <w:spacing w:after="80"/>
      </w:pPr>
      <w:r>
        <w:t xml:space="preserve"/>
      </w:r>
    </w:p>
    <w:p>
      <w:pPr>
        <w:spacing w:after="120" w:line="276"/>
      </w:pPr>
      <w:r>
        <w:t xml:space="preserve">THIS DEED is made on the date set out above.</w:t>
      </w:r>
    </w:p>
    <w:p>
      <w:pPr>
        <w:spacing w:after="120" w:before="160"/>
      </w:pPr>
      <w:r>
        <w:rPr>
          <w:b/>
          <w:bCs/>
        </w:rPr>
        <w:t xml:space="preserve">BACKGROUND</w:t>
      </w:r>
    </w:p>
    <w:p>
      <w:pPr>
        <w:pStyle w:val="ListParagraph"/>
        <w:numPr>
          <w:ilvl w:val="2"/>
          <w:numId w:val="2"/>
        </w:numPr>
        <w:spacing w:after="120" w:line="276"/>
      </w:pPr>
      <w:r>
        <w:t xml:space="preserve">On completion of the purchase of the reversion to the Leases, the Landlord became entitled to the rent deposit monies previously held by Westmoreland Property Holdings Limited (the “Former Landlord”) under the rent deposit deeds dated 3 February 2022 (Aldous Capital LLP) and 19 September 2023 (Brindley Marketing Limited) (together the “Original Deposit Deeds”).</w:t>
      </w:r>
    </w:p>
    <w:p>
      <w:pPr>
        <w:pStyle w:val="ListParagraph"/>
        <w:numPr>
          <w:ilvl w:val="2"/>
          <w:numId w:val="2"/>
        </w:numPr>
        <w:spacing w:after="120" w:line="276"/>
      </w:pPr>
      <w:r>
        <w:t xml:space="preserve">The Former Landlord has transferred, and the Landlord now holds, the Deposit referable to each Tenant. The parties enter into this deed to govern the holding and application of the Deposit going forward, replacing the Original Deposit Deeds with effect from the date of this deed.</w:t>
      </w:r>
    </w:p>
    <w:p>
      <w:pPr>
        <w:spacing w:after="120" w:before="160"/>
      </w:pPr>
      <w:r>
        <w:rPr>
          <w:b/>
          <w:bCs/>
        </w:rPr>
        <w:t xml:space="preserve">OPERATIVE PROVISIONS</w:t>
      </w:r>
    </w:p>
    <w:p>
      <w:pPr>
        <w:pStyle w:val="ListParagraph"/>
        <w:numPr>
          <w:ilvl w:val="0"/>
          <w:numId w:val="2"/>
        </w:numPr>
        <w:spacing w:after="120" w:line="276"/>
      </w:pPr>
      <w:r>
        <w:t xml:space="preserve">Definitions and interpretation</w:t>
      </w:r>
    </w:p>
    <w:p>
      <w:pPr>
        <w:pStyle w:val="ListParagraph"/>
        <w:numPr>
          <w:ilvl w:val="1"/>
          <w:numId w:val="2"/>
        </w:numPr>
        <w:spacing w:after="120" w:line="276"/>
      </w:pPr>
      <w:r>
        <w:t xml:space="preserve">In this deed the following definitions apply:</w:t>
      </w:r>
    </w:p>
    <w:p>
      <w:pPr>
        <w:spacing w:after="120"/>
      </w:pPr>
      <w:r>
        <w:t xml:space="preserve">“Deposit” means, in respect of each Tenant, the sum specified against that Tenant in the Schedule, together with all interest accruing on it; “Deposit Account” means the interest-bearing account in the Landlord's name in which the Deposit is held; “Lease” means, in respect of each Tenant, the occupational lease of the relevant premises in the Building; “Prescribed Amount” means a sum equal to the Deposit specified in the Schedule, to be topped up under clause 4; “VAT” means value added tax.</w:t>
      </w:r>
    </w:p>
    <w:p>
      <w:pPr>
        <w:pStyle w:val="ListParagraph"/>
        <w:numPr>
          <w:ilvl w:val="0"/>
          <w:numId w:val="2"/>
        </w:numPr>
        <w:spacing w:after="120" w:line="276"/>
      </w:pPr>
      <w:r>
        <w:t xml:space="preserve">The Deposit</w:t>
      </w:r>
    </w:p>
    <w:p>
      <w:pPr>
        <w:pStyle w:val="ListParagraph"/>
        <w:numPr>
          <w:ilvl w:val="1"/>
          <w:numId w:val="2"/>
        </w:numPr>
        <w:spacing w:after="120" w:line="276"/>
      </w:pPr>
      <w:r>
        <w:t xml:space="preserve">Each Tenant acknowledges that the Landlord holds the Deposit specified against that Tenant in the Schedule as security for the discharge of that Tenant's obligations under its Lease.</w:t>
      </w:r>
    </w:p>
    <w:p>
      <w:pPr>
        <w:pStyle w:val="ListParagraph"/>
        <w:numPr>
          <w:ilvl w:val="1"/>
          <w:numId w:val="2"/>
        </w:numPr>
        <w:spacing w:after="120" w:line="276"/>
      </w:pPr>
      <w:r>
        <w:t xml:space="preserve">The Deposit (including the part representing VAT) is charged by each Tenant to the Landlord by way of first fixed charge as a continuing security.</w:t>
      </w:r>
    </w:p>
    <w:p>
      <w:pPr>
        <w:pStyle w:val="ListParagraph"/>
        <w:numPr>
          <w:ilvl w:val="1"/>
          <w:numId w:val="2"/>
        </w:numPr>
        <w:spacing w:after="120" w:line="276"/>
      </w:pPr>
      <w:r>
        <w:t xml:space="preserve">The Landlord will hold the Deposit in the Deposit Account and interest will accrue for the account of the relevant Tenant, subject to deduction of tax.</w:t>
      </w:r>
    </w:p>
    <w:p>
      <w:pPr>
        <w:pStyle w:val="ListParagraph"/>
        <w:numPr>
          <w:ilvl w:val="0"/>
          <w:numId w:val="2"/>
        </w:numPr>
        <w:spacing w:after="120" w:line="276"/>
      </w:pPr>
      <w:r>
        <w:t xml:space="preserve">Withdrawals by the Landlord</w:t>
      </w:r>
    </w:p>
    <w:p>
      <w:pPr>
        <w:pStyle w:val="ListParagraph"/>
        <w:numPr>
          <w:ilvl w:val="1"/>
          <w:numId w:val="2"/>
        </w:numPr>
        <w:spacing w:after="120" w:line="276"/>
      </w:pPr>
      <w:r>
        <w:t xml:space="preserve">The Landlord may withdraw from the Deposit such sums as are equal to any amount which is due but unpaid under the relevant Lease, or which the Landlord has properly incurred as a result of the relevant Tenant's breach, including: </w:t>
      </w:r>
    </w:p>
    <w:p>
      <w:pPr>
        <w:pStyle w:val="ListParagraph"/>
        <w:numPr>
          <w:ilvl w:val="2"/>
          <w:numId w:val="2"/>
        </w:numPr>
        <w:spacing w:after="120" w:line="276"/>
      </w:pPr>
      <w:r>
        <w:t xml:space="preserve">unpaid rent, service charge, insurance rent or other sums reserved as rent;</w:t>
      </w:r>
    </w:p>
    <w:p>
      <w:pPr>
        <w:pStyle w:val="ListParagraph"/>
        <w:numPr>
          <w:ilvl w:val="2"/>
          <w:numId w:val="2"/>
        </w:numPr>
        <w:spacing w:after="120" w:line="276"/>
      </w:pPr>
      <w:r>
        <w:t xml:space="preserve">the cost of remedying any breach of the Tenant's covenants; and</w:t>
      </w:r>
    </w:p>
    <w:p>
      <w:pPr>
        <w:pStyle w:val="ListParagraph"/>
        <w:numPr>
          <w:ilvl w:val="2"/>
          <w:numId w:val="2"/>
        </w:numPr>
        <w:spacing w:after="120" w:line="276"/>
      </w:pPr>
      <w:r>
        <w:t xml:space="preserve">any VAT properly chargeable on such sums.</w:t>
      </w:r>
    </w:p>
    <w:p>
      <w:pPr>
        <w:pStyle w:val="ListParagraph"/>
        <w:numPr>
          <w:ilvl w:val="0"/>
          <w:numId w:val="2"/>
        </w:numPr>
        <w:spacing w:after="120" w:line="276"/>
      </w:pPr>
      <w:r>
        <w:t xml:space="preserve">Topping up</w:t>
      </w:r>
    </w:p>
    <w:p>
      <w:pPr>
        <w:pStyle w:val="ListParagraph"/>
        <w:numPr>
          <w:ilvl w:val="1"/>
          <w:numId w:val="2"/>
        </w:numPr>
        <w:spacing w:after="120" w:line="276"/>
      </w:pPr>
      <w:r>
        <w:t xml:space="preserve">If the Landlord withdraws any sum from the Deposit, the relevant Tenant must, within 10 working days of written demand, pay to the Landlord such sum as is required to restore the Deposit to the Prescribed Amount.</w:t>
      </w:r>
    </w:p>
    <w:p>
      <w:pPr>
        <w:pStyle w:val="ListParagraph"/>
        <w:numPr>
          <w:ilvl w:val="0"/>
          <w:numId w:val="2"/>
        </w:numPr>
        <w:spacing w:after="120" w:line="276"/>
      </w:pPr>
      <w:r>
        <w:t xml:space="preserve">Repayment of the Deposit</w:t>
      </w:r>
    </w:p>
    <w:p>
      <w:pPr>
        <w:pStyle w:val="ListParagraph"/>
        <w:numPr>
          <w:ilvl w:val="1"/>
          <w:numId w:val="2"/>
        </w:numPr>
        <w:spacing w:after="120" w:line="276"/>
      </w:pPr>
      <w:r>
        <w:t xml:space="preserve">The Landlord will repay the balance of the Deposit (after permitted deductions) to the relevant Tenant within 20 working days after the later of: (a) the date on which the relevant Tenant lawfully and with vacant possession yields up the premises at the end of the Lease term; and (b) the date on which all sums due under the Lease have been paid.</w:t>
      </w:r>
    </w:p>
    <w:p>
      <w:pPr>
        <w:pStyle w:val="ListParagraph"/>
        <w:numPr>
          <w:ilvl w:val="0"/>
          <w:numId w:val="2"/>
        </w:numPr>
        <w:spacing w:after="120" w:line="276"/>
      </w:pPr>
      <w:r>
        <w:t xml:space="preserve">Assignment by the Tenant</w:t>
      </w:r>
    </w:p>
    <w:p>
      <w:pPr>
        <w:pStyle w:val="ListParagraph"/>
        <w:numPr>
          <w:ilvl w:val="1"/>
          <w:numId w:val="2"/>
        </w:numPr>
        <w:spacing w:after="120" w:line="276"/>
      </w:pPr>
      <w:r>
        <w:t xml:space="preserve">On a permitted assignment of a Lease, the relevant Deposit will (unless the Landlord agrees otherwise) be repaid to the outgoing Tenant on the assignee entering into a fresh rent deposit deed on substantially the same terms and paying an equivalent deposit.</w:t>
      </w:r>
    </w:p>
    <w:p>
      <w:pPr>
        <w:pStyle w:val="ListParagraph"/>
        <w:numPr>
          <w:ilvl w:val="0"/>
          <w:numId w:val="2"/>
        </w:numPr>
        <w:spacing w:after="120" w:line="276"/>
      </w:pPr>
      <w:r>
        <w:t xml:space="preserve">Dealings by the Landlord</w:t>
      </w:r>
    </w:p>
    <w:p>
      <w:pPr>
        <w:pStyle w:val="ListParagraph"/>
        <w:numPr>
          <w:ilvl w:val="1"/>
          <w:numId w:val="2"/>
        </w:numPr>
        <w:spacing w:after="120" w:line="276"/>
      </w:pPr>
      <w:r>
        <w:t xml:space="preserve">On a disposal of the Landlord's reversion the Landlord may transfer the Deposit to the incoming landlord, who will assume the Landlord's obligations under this deed, and the Landlord will then be released. The relevant Tenant will, if required, enter into a new rent deposit deed with the incoming landlord on substantially the same terms.</w:t>
      </w:r>
    </w:p>
    <w:p>
      <w:pPr>
        <w:pStyle w:val="ListParagraph"/>
        <w:numPr>
          <w:ilvl w:val="0"/>
          <w:numId w:val="2"/>
        </w:numPr>
        <w:spacing w:after="120" w:line="276"/>
      </w:pPr>
      <w:r>
        <w:t xml:space="preserve">Notices</w:t>
      </w:r>
    </w:p>
    <w:p>
      <w:pPr>
        <w:pStyle w:val="ListParagraph"/>
        <w:numPr>
          <w:ilvl w:val="1"/>
          <w:numId w:val="2"/>
        </w:numPr>
        <w:spacing w:after="120" w:line="276"/>
      </w:pPr>
      <w:r>
        <w:t xml:space="preserve">Any notice under this deed must be in writing and delivered by hand or sent by pre-paid first-class post or recorded delivery to the relevant party's registered office or last known address.</w:t>
      </w:r>
    </w:p>
    <w:p>
      <w:pPr>
        <w:pStyle w:val="ListParagraph"/>
        <w:numPr>
          <w:ilvl w:val="0"/>
          <w:numId w:val="2"/>
        </w:numPr>
        <w:spacing w:after="120" w:line="276"/>
      </w:pPr>
      <w:r>
        <w:t xml:space="preserve">Governing law and jurisdiction</w:t>
      </w:r>
    </w:p>
    <w:p>
      <w:pPr>
        <w:pStyle w:val="ListParagraph"/>
        <w:numPr>
          <w:ilvl w:val="1"/>
          <w:numId w:val="2"/>
        </w:numPr>
        <w:spacing w:after="120" w:line="276"/>
      </w:pPr>
      <w:r>
        <w:t xml:space="preserve">This deed and any dispute arising out of it are governed by the law of England and Wales, and the parties submit to the exclusive jurisdiction of the courts of England and Wales.</w:t>
      </w:r>
    </w:p>
    <w:p>
      <w:pPr>
        <w:spacing w:after="80"/>
      </w:pPr>
      <w:r>
        <w:t xml:space="preserve"/>
      </w:r>
    </w:p>
    <w:p>
      <w:pPr>
        <w:spacing w:after="120" w:before="160"/>
      </w:pPr>
      <w:r>
        <w:rPr>
          <w:b/>
          <w:bCs/>
        </w:rPr>
        <w:t xml:space="preserve">THE SCHEDULE — The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80"/>
        <w:gridCol w:w="228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Tenant</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Premises</w:t>
            </w:r>
          </w:p>
        </w:tc>
        <w:tc>
          <w:tcPr>
            <w:tcW w:type="dxa" w:w="18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Lease date</w:t>
            </w:r>
          </w:p>
        </w:tc>
        <w:tc>
          <w:tcPr>
            <w:tcW w:type="dxa" w:w="2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Deposit held (£)</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Fourth and fifth floors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 February 2022</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196,000.00</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Brindley Marketing Limited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Third floor</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19 September 2023</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122,400.00</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Total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318,400.00</w:t>
            </w:r>
          </w:p>
        </w:tc>
      </w:tr>
    </w:tbl>
    <w:p>
      <w:pPr>
        <w:spacing w:after="80"/>
      </w:pPr>
      <w:r>
        <w:t xml:space="preserve"/>
      </w:r>
    </w:p>
    <w:p>
      <w:pPr>
        <w:spacing w:after="120" w:line="276"/>
      </w:pPr>
      <w:r>
        <w:t xml:space="preserve">IN WITNESS of which this document has been executed as a deed and is delivered on the date set out above.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Executed as a deed by MARCHWOOD PROPERTY GROUP LIMITED acting by a director and its secretary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Director: ..................................</w:t>
            </w:r>
          </w:p>
          <w:p>
            <w:pPr>
              <w:spacing w:after="0"/>
            </w:pPr>
            <w:r>
              <w:rPr>
                <w:b w:val="false"/>
                <w:bCs w:val="false"/>
              </w:rPr>
              <w:t xml:space="preserve"/>
            </w:r>
          </w:p>
          <w:p>
            <w:pPr>
              <w:spacing w:after="0"/>
            </w:pPr>
            <w:r>
              <w:rPr>
                <w:b w:val="false"/>
                <w:bCs w:val="false"/>
              </w:rPr>
              <w:t xml:space="preserve">Secretary: ..............................</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Executed as a deed by ALDOUS CAPITAL LLP acting by two members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Member: ..................................</w:t>
            </w:r>
          </w:p>
          <w:p>
            <w:pPr>
              <w:spacing w:after="0"/>
            </w:pPr>
            <w:r>
              <w:rPr>
                <w:b w:val="false"/>
                <w:bCs w:val="false"/>
              </w:rPr>
              <w:t xml:space="preserve"/>
            </w:r>
          </w:p>
          <w:p>
            <w:pPr>
              <w:spacing w:after="0"/>
            </w:pPr>
            <w:r>
              <w:rPr>
                <w:b w:val="false"/>
                <w:bCs w:val="false"/>
              </w:rPr>
              <w:t xml:space="preserve">Member: .................................</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Executed as a deed by BRINDLEY MARKETING LIMITED acting by a director in the presence of a witness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Director: ..................................</w:t>
            </w:r>
          </w:p>
          <w:p>
            <w:pPr>
              <w:spacing w:after="0"/>
            </w:pPr>
            <w:r>
              <w:rPr>
                <w:b w:val="false"/>
                <w:bCs w:val="false"/>
              </w:rPr>
              <w:t xml:space="preserve"/>
            </w:r>
          </w:p>
          <w:p>
            <w:pPr>
              <w:spacing w:after="0"/>
            </w:pPr>
            <w:r>
              <w:rPr>
                <w:b w:val="false"/>
                <w:bCs w:val="false"/>
              </w:rPr>
              <w:t xml:space="preserve">Witness: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60"/>
    </w:pPr>
    <w:r>
      <w:rPr>
        <w:color w:val="808080"/>
        <w:sz w:val="13"/>
        <w:szCs w:val="13"/>
      </w:rPr>
      <w:t xml:space="preserve">Whitfield Carter LLP is a limited liability partnership registered in England and Wales and is authorised and regulated by the Solicitors Regulation Authority. Registered office: 22 Bishopsgate, London EC2N 4BQ.</w:t>
    </w:r>
  </w:p>
  <w:p>
    <w:pPr>
      <w:jc w:val="right"/>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700"/>
      </w:pPr>
    </w:lvl>
    <w:lvl w:ilvl="2" w15:tentative="1">
      <w:start w:val="1"/>
      <w:numFmt w:val="lowerLetter"/>
      <w:lvlText w:val="(%3)"/>
      <w:lvlJc w:val="left"/>
      <w:pPr>
        <w:ind w:left="1750" w:hanging="600"/>
      </w:pPr>
    </w:lvl>
    <w:lvl w:ilvl="3" w15:tentative="1">
      <w:start w:val="1"/>
      <w:numFmt w:val="lowerRoman"/>
      <w:lvlText w:val="(%4)"/>
      <w:lvlJc w:val="left"/>
      <w:pPr>
        <w:ind w:left="2350" w:hanging="6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2026-06-26T02:39:58.978Z</dcterms:created>
  <dcterms:modified xsi:type="dcterms:W3CDTF">2026-06-26T02:39:58.978Z</dcterms:modified>
</cp:coreProperties>
</file>

<file path=docProps/custom.xml><?xml version="1.0" encoding="utf-8"?>
<Properties xmlns="http://schemas.openxmlformats.org/officeDocument/2006/custom-properties" xmlns:vt="http://schemas.openxmlformats.org/officeDocument/2006/docPropsVTypes"/>
</file>