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CPSE.1 – Replies to Commercial Property Standard Enquiries</w:t>
      </w:r>
    </w:p>
    <w:p>
      <w:pPr>
        <w:spacing w:after="40"/>
        <w:jc w:val="center"/>
      </w:pPr>
      <w:r>
        <w:rPr>
          <w:b/>
          <w:bCs/>
        </w:rPr>
        <w:t xml:space="preserve">Property: Kestrel House, 14 Forbury Road, Reading RG1 3JH</w:t>
      </w:r>
    </w:p>
    <w:p>
      <w:pPr>
        <w:spacing w:after="200"/>
        <w:jc w:val="center"/>
      </w:pPr>
      <w:r>
        <w:rPr>
          <w:i/>
          <w:iCs/>
          <w:sz w:val="18"/>
          <w:szCs w:val="18"/>
        </w:rPr>
        <w:t xml:space="preserve">Seller: Brantwood Asset Management Limited  |  Seller's Solicitors: Castle &amp; Vane LLP  |  Dated 10 March 2026</w:t>
      </w:r>
    </w:p>
    <w:p>
      <w:pPr>
        <w:spacing w:after="120"/>
      </w:pPr>
      <w:r>
        <w:t xml:space="preserve">These replies are given by the Seller subject to the General Conditions printed at the front of CPSE.1 (version 3.8). Where a reply refers to a document, a copy has been supplied in the data room.</w:t>
      </w:r>
    </w:p>
    <w:p>
      <w:pPr>
        <w:spacing w:after="40" w:before="140"/>
      </w:pPr>
      <w:r>
        <w:rPr>
          <w:b/>
          <w:bCs/>
        </w:rPr>
        <w:t xml:space="preserve">1. Boundaries and extent</w:t>
      </w:r>
    </w:p>
    <w:p>
      <w:pPr>
        <w:spacing w:after="120"/>
      </w:pPr>
      <w:r>
        <w:t xml:space="preserve">The Seller is not aware of any discrepancy between the registered title plan and the physical boundaries. The boundary features are maintained as shown on the appended plan; the Seller is not aware of any boundary dispute.</w:t>
      </w:r>
    </w:p>
    <w:p>
      <w:pPr>
        <w:spacing w:after="40" w:before="140"/>
      </w:pPr>
      <w:r>
        <w:rPr>
          <w:b/>
          <w:bCs/>
        </w:rPr>
        <w:t xml:space="preserve">2. Party walls</w:t>
      </w:r>
    </w:p>
    <w:p>
      <w:pPr>
        <w:spacing w:after="120"/>
      </w:pPr>
      <w:r>
        <w:t xml:space="preserve">The Seller is not aware of any structure on the Property that is a party structure, save the flank wall to the adjoining 16 Forbury Road which is presumed to be a party wall.</w:t>
      </w:r>
    </w:p>
    <w:p>
      <w:pPr>
        <w:spacing w:after="40" w:before="140"/>
      </w:pPr>
      <w:r>
        <w:rPr>
          <w:b/>
          <w:bCs/>
        </w:rPr>
        <w:t xml:space="preserve">3. Rights benefiting the Property</w:t>
      </w:r>
    </w:p>
    <w:p>
      <w:pPr>
        <w:spacing w:after="120"/>
      </w:pPr>
      <w:r>
        <w:t xml:space="preserve">The Property has the benefit of the rights set out in the registered title, including rights of way and rights to use service media over the Forbury Gardens estate. No such right has been obstructed or challenged.</w:t>
      </w:r>
    </w:p>
    <w:p>
      <w:pPr>
        <w:spacing w:after="40" w:before="140"/>
      </w:pPr>
      <w:r>
        <w:rPr>
          <w:b/>
          <w:bCs/>
        </w:rPr>
        <w:t xml:space="preserve">4. Adverse rights affecting the Property</w:t>
      </w:r>
    </w:p>
    <w:p>
      <w:pPr>
        <w:spacing w:after="120"/>
      </w:pPr>
      <w:r>
        <w:t xml:space="preserve">Other than the matters referred to in the registered title and the occupational leases, the Seller is not aware of any easement, right or informal arrangement affecting the Property.</w:t>
      </w:r>
    </w:p>
    <w:p>
      <w:pPr>
        <w:spacing w:after="40" w:before="140"/>
      </w:pPr>
      <w:r>
        <w:rPr>
          <w:b/>
          <w:bCs/>
        </w:rPr>
        <w:t xml:space="preserve">5. Title policies</w:t>
      </w:r>
    </w:p>
    <w:p>
      <w:pPr>
        <w:spacing w:after="120"/>
      </w:pPr>
      <w:r>
        <w:t xml:space="preserve">No defective title indemnity policy is in place. The Seller is not aware of any title defect requiring one.</w:t>
      </w:r>
    </w:p>
    <w:p>
      <w:pPr>
        <w:spacing w:after="40" w:before="140"/>
      </w:pPr>
      <w:r>
        <w:rPr>
          <w:b/>
          <w:bCs/>
        </w:rPr>
        <w:t xml:space="preserve">6. Access to neighbouring land</w:t>
      </w:r>
    </w:p>
    <w:p>
      <w:pPr>
        <w:spacing w:after="120"/>
      </w:pPr>
      <w:r>
        <w:t xml:space="preserve">The Seller is not aware of being required to give or receive access to or from adjoining land save under the estate arrangements.</w:t>
      </w:r>
    </w:p>
    <w:p>
      <w:pPr>
        <w:spacing w:after="40" w:before="140"/>
      </w:pPr>
      <w:r>
        <w:rPr>
          <w:b/>
          <w:bCs/>
        </w:rPr>
        <w:t xml:space="preserve">7. Disputes</w:t>
      </w:r>
    </w:p>
    <w:p>
      <w:pPr>
        <w:spacing w:after="120"/>
      </w:pPr>
      <w:r>
        <w:t xml:space="preserve">The Seller is not aware of any current, contemplated or anticipated dispute relating to the Property, save a minor arrears recovery against Caldermoor Recruitment Ltd (see Reply 18).</w:t>
      </w:r>
    </w:p>
    <w:p>
      <w:pPr>
        <w:spacing w:after="40" w:before="140"/>
      </w:pPr>
      <w:r>
        <w:rPr>
          <w:b/>
          <w:bCs/>
        </w:rPr>
        <w:t xml:space="preserve">8. Notices</w:t>
      </w:r>
    </w:p>
    <w:p>
      <w:pPr>
        <w:spacing w:after="120"/>
      </w:pPr>
      <w:r>
        <w:t xml:space="preserve">The Seller has neither given nor received any notice affecting the Property other than routine service charge and rent demands.</w:t>
      </w:r>
    </w:p>
    <w:p>
      <w:pPr>
        <w:spacing w:after="40" w:before="140"/>
      </w:pPr>
      <w:r>
        <w:rPr>
          <w:b/>
          <w:bCs/>
        </w:rPr>
        <w:t xml:space="preserve">9. Outgoings</w:t>
      </w:r>
    </w:p>
    <w:p>
      <w:pPr>
        <w:spacing w:after="120"/>
      </w:pPr>
      <w:r>
        <w:t xml:space="preserve">The Property is assessed for non-domestic rates. Buildings insurance is arranged by the Seller and recharged through the service charge. There are no other outgoings of an unusual nature.</w:t>
      </w:r>
    </w:p>
    <w:p>
      <w:pPr>
        <w:spacing w:after="40" w:before="140"/>
      </w:pPr>
      <w:r>
        <w:rPr>
          <w:b/>
          <w:bCs/>
        </w:rPr>
        <w:t xml:space="preserve">10. Capital allowances</w:t>
      </w:r>
    </w:p>
    <w:p>
      <w:pPr>
        <w:spacing w:after="120"/>
      </w:pPr>
      <w:r>
        <w:t xml:space="preserve">The Seller has not made and is not aware of any capital allowances claim that would require a s198 CAA 2001 election. The Buyer’s tax advisers should make their own enquiries.</w:t>
      </w:r>
    </w:p>
    <w:p>
      <w:pPr>
        <w:spacing w:after="40" w:before="140"/>
      </w:pPr>
      <w:r>
        <w:rPr>
          <w:b/>
          <w:bCs/>
        </w:rPr>
        <w:t xml:space="preserve">11. Statutory agreements and infrastructure</w:t>
      </w:r>
    </w:p>
    <w:p>
      <w:pPr>
        <w:spacing w:after="120"/>
      </w:pPr>
      <w:r>
        <w:t xml:space="preserve">There are no s106 or s278 agreements affecting the Property of which the Seller is aware, other than the original estate infrastructure agreement disclosed at document 4.2.</w:t>
      </w:r>
    </w:p>
    <w:p>
      <w:pPr>
        <w:spacing w:after="40" w:before="140"/>
      </w:pPr>
      <w:r>
        <w:rPr>
          <w:b/>
          <w:bCs/>
        </w:rPr>
        <w:t xml:space="preserve">12. Occupational leases</w:t>
      </w:r>
    </w:p>
    <w:p>
      <w:pPr>
        <w:spacing w:after="120"/>
      </w:pPr>
      <w:r>
        <w:t xml:space="preserve">The Property is subject to the six occupational leases listed in the tenancy schedule (document 6.1). Copies of the leases, licences and rent deposit deeds are in the data room. The Seller confirms the rents stated are the current passing rents and are not subject to any concession save the half-rent period for Forbury Coffee Co. Ltd which expired in December 2025.</w:t>
      </w:r>
    </w:p>
    <w:p>
      <w:pPr>
        <w:spacing w:after="40" w:before="140"/>
      </w:pPr>
      <w:r>
        <w:rPr>
          <w:b/>
          <w:bCs/>
        </w:rPr>
        <w:t xml:space="preserve">13. Tenant covenant and arrears</w:t>
      </w:r>
    </w:p>
    <w:p>
      <w:pPr>
        <w:spacing w:after="120"/>
      </w:pPr>
      <w:r>
        <w:t xml:space="preserve">Save as disclosed in Reply 18, all rents are paid up to date. Rent deposits of £49,125 (Trevose) and £24,000 (Caldermoor) are held; the rent deposit deeds will be assigned to the Buyer on completion.</w:t>
      </w:r>
    </w:p>
    <w:p>
      <w:pPr>
        <w:spacing w:after="40" w:before="140"/>
      </w:pPr>
      <w:r>
        <w:rPr>
          <w:b/>
          <w:bCs/>
        </w:rPr>
        <w:t xml:space="preserve">14. Rent reviews</w:t>
      </w:r>
    </w:p>
    <w:p>
      <w:pPr>
        <w:spacing w:after="120"/>
      </w:pPr>
      <w:r>
        <w:t xml:space="preserve">The Aldermere Software Ltd lease is subject to an outstanding open-market rent review with a review date of 25 March 2026 which has not yet been agreed or determined. The Seller will assign the conduct of the review to the Buyer on completion.</w:t>
      </w:r>
    </w:p>
    <w:p>
      <w:pPr>
        <w:spacing w:after="40" w:before="140"/>
      </w:pPr>
      <w:r>
        <w:rPr>
          <w:b/>
          <w:bCs/>
        </w:rPr>
        <w:t xml:space="preserve">15. Service charge</w:t>
      </w:r>
    </w:p>
    <w:p>
      <w:pPr>
        <w:spacing w:after="120"/>
      </w:pPr>
      <w:r>
        <w:t xml:space="preserve">The service charge is administered by the Seller as landlord. The 2025 service charge accounts disclose a carried-forward deficit of £18,400. No major works are currently programmed beyond routine planned maintenance.</w:t>
      </w:r>
    </w:p>
    <w:p>
      <w:pPr>
        <w:spacing w:after="40" w:before="140"/>
      </w:pPr>
      <w:r>
        <w:rPr>
          <w:b/>
          <w:bCs/>
        </w:rPr>
        <w:t xml:space="preserve">16. Insurance</w:t>
      </w:r>
    </w:p>
    <w:p>
      <w:pPr>
        <w:spacing w:after="120"/>
      </w:pPr>
      <w:r>
        <w:t xml:space="preserve">The building is insured under the Seller’s portfolio policy with Aviva (policy number BR-44820); reinstatement cost is assessed at £19.2m. The policy will be cancelled on completion and the Buyer must arrange its own cover.</w:t>
      </w:r>
    </w:p>
    <w:p>
      <w:pPr>
        <w:spacing w:after="40" w:before="140"/>
      </w:pPr>
      <w:r>
        <w:rPr>
          <w:b/>
          <w:bCs/>
        </w:rPr>
        <w:t xml:space="preserve">17. Environmental</w:t>
      </w:r>
    </w:p>
    <w:p>
      <w:pPr>
        <w:spacing w:after="120"/>
      </w:pPr>
      <w:r>
        <w:t xml:space="preserve">The Seller is not aware of any contamination, and a Phase I environmental assessment (document 9.3) concluded the risk is low.</w:t>
      </w:r>
    </w:p>
    <w:p>
      <w:pPr>
        <w:spacing w:after="40" w:before="140"/>
      </w:pPr>
      <w:r>
        <w:rPr>
          <w:b/>
          <w:bCs/>
        </w:rPr>
        <w:t xml:space="preserve">18. Disputes – arrears</w:t>
      </w:r>
    </w:p>
    <w:p>
      <w:pPr>
        <w:spacing w:after="120"/>
      </w:pPr>
      <w:r>
        <w:t xml:space="preserve">The Seller has issued a routine arrears reminder to Caldermoor Recruitment Ltd in respect of the March 2026 quarter (£24,000). No proceedings have been issued and the Seller expects payment within the quarter.</w:t>
      </w:r>
    </w:p>
    <w:p>
      <w:pPr>
        <w:spacing w:before="200"/>
      </w:pPr>
      <w:r>
        <w:rPr>
          <w:i/>
          <w:iCs/>
        </w:rPr>
        <w:t xml:space="preserve">Castle &amp; Vane LLP — for and on behalf of Brantwood Asset Management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CPSE.1 Replies to Enquiries  |  Whitfield Carter LLP is a limited liability partnership registered in England &amp; Wales.</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2026-06-29T02:45:46.596Z</dcterms:created>
  <dcterms:modified xsi:type="dcterms:W3CDTF">2026-06-29T02:45:46.596Z</dcterms:modified>
</cp:coreProperties>
</file>

<file path=docProps/custom.xml><?xml version="1.0" encoding="utf-8"?>
<Properties xmlns="http://schemas.openxmlformats.org/officeDocument/2006/custom-properties" xmlns:vt="http://schemas.openxmlformats.org/officeDocument/2006/docPropsVTypes"/>
</file>