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00000"/>
          <w:sz w:val="20"/>
          <w:szCs w:val="20"/>
        </w:rPr>
        <w:t xml:space="preserve">SUBJECT TO CONTRACT – STRICTLY PRIVATE &amp; CONFIDENTIAL</w:t>
      </w:r>
    </w:p>
    <w:p>
      <w:pPr>
        <w:pStyle w:val="Heading1"/>
        <w:jc w:val="center"/>
      </w:pPr>
      <w:r>
        <w:t xml:space="preserve">Heads of Terms</w:t>
      </w:r>
    </w:p>
    <w:p>
      <w:pPr>
        <w:spacing w:after="200"/>
        <w:jc w:val="center"/>
      </w:pPr>
      <w:r>
        <w:rPr>
          <w:i/>
          <w:iCs/>
        </w:rPr>
        <w:t xml:space="preserve">Project Larkspur – Acquisition of Kestrel House, 14 Forbury Road, Reading RG1 3JH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Kestrel House, 14 Forbury Road, Reading RG1 3JH — a five-storey multi-let office building (NIA approx. 38,420 sq ft) with 46 car parking spaces.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Freehold, registered at HM Land Registry under title number BK482176, sold subject to and with the benefit of the occupational leases.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Seller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Brantwood Asset Management Limited (registered number 06218840).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Buyer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Marchwood Property Group Limited (registered number 07731902) or a wholly-owned group nominee.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£14,250,000 exclusive of VAT, reflecting a net initial yield of 7.30% on the passing rent.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Deposit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 of the Purchase Price (£1,425,000) payable on exchange, held by the Seller's solicitors as stakeholder.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VAT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Property is elected for VAT. The sale is intended to be treated as a transfer of a going concern (TOGC); the Buyer will opt to tax and notify HMRC before completion.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Passing Rent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£1,041,500 per annum exclusive across six occupational tenancies (see rent schedule appended).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Conditions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Subject to contract and to satisfactory replies to enquiries, title and search results, and a satisfactory building survey.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Exclusivity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Seller agrees an exclusivity period of six (6) weeks from the date of these Heads of Terms.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 Exchange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or before 24 April 2026, with completion 10 working days thereafter.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Buyer's Solicitors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Whitfield Carter LLP (Sarah Whitfield / Elena Marchetti).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Seller's Solicitors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Castle &amp; Vane LLP (Jonathan Vane).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Agents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Buyer: Marchwood in-house. Seller: Harben Reilly (investment).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These Heads of Terms are not intended to be legally binding (save for the exclusivity and confidentiality provisions) and are subject to contract.</w:t>
      </w:r>
    </w:p>
    <w:p>
      <w:pPr>
        <w:spacing w:before="160"/>
      </w:pPr>
      <w:r>
        <w:t xml:space="preserve">Issued by Whitfield Carter LLP on behalf of the Buyer — 18 February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  <w:jc w:val="center"/>
    </w:pPr>
    <w:r>
      <w:rPr>
        <w:color w:val="808080"/>
        <w:sz w:val="14"/>
        <w:szCs w:val="14"/>
      </w:rPr>
      <w:t xml:space="preserve">Project Larkspur – Heads of Terms  |  Whitfield Carter LLP is a limited liability partnership registered in England &amp; Wales.</w:t>
    </w:r>
  </w:p>
  <w:p>
    <w:pPr>
      <w:spacing w:after="0"/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2026-06-29T11:14:54.349Z</dcterms:created>
  <dcterms:modified xsi:type="dcterms:W3CDTF">2026-06-29T11:14:54.350Z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