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Report on Title and Acquisition</w:t>
      </w:r>
    </w:p>
    <w:p>
      <w:pPr>
        <w:spacing w:after="40"/>
        <w:jc w:val="center"/>
      </w:pPr>
      <w:r>
        <w:rPr>
          <w:b/>
          <w:bCs/>
        </w:rPr>
        <w:t xml:space="preserve">Kestrel House, 14 Forbury Road, Reading RG1 3JH</w:t>
      </w:r>
    </w:p>
    <w:p>
      <w:pPr>
        <w:spacing w:after="200"/>
        <w:jc w:val="center"/>
      </w:pPr>
      <w:r>
        <w:rPr>
          <w:i/>
          <w:iCs/>
          <w:sz w:val="18"/>
          <w:szCs w:val="18"/>
        </w:rPr>
        <w:t xml:space="preserve">Prepared for Marchwood Property Group Limited by Whitfield Carter LLP — 31 March 2026</w:t>
      </w:r>
    </w:p>
    <w:p>
      <w:pPr>
        <w:spacing w:after="120"/>
      </w:pPr>
      <w:r>
        <w:t xml:space="preserve">This report summarises the results of our investigation of title and our review of the searches, replies to enquiries and the occupational leases. It should be read together with the draft Contract and the documents in the data room. Defined terms have the meanings given in the Contract.</w:t>
      </w:r>
    </w:p>
    <w:p>
      <w:pPr>
        <w:pStyle w:val="Heading1"/>
      </w:pPr>
      <w:r>
        <w:t xml:space="preserve">1. The Property and tenure</w:t>
      </w:r>
    </w:p>
    <w:p>
      <w:pPr>
        <w:spacing w:after="120"/>
      </w:pPr>
      <w:r>
        <w:t xml:space="preserve">The Property comprises a five-storey office building constructed in 2004, with a net internal area of approximately 38,420 sq ft and 46 surface and undercroft car parking spaces. The freehold is registered at HM Land Registry under title number BK482176 with title absolute. The registered proprietor is Brantwood Asset Management Limited. There are no cautions, restrictions (other than a standard Form A and a charge in favour of Northbank plc to be discharged on completion) or notices that adversely affect the Buyer.</w:t>
      </w:r>
    </w:p>
    <w:p>
      <w:pPr>
        <w:pStyle w:val="Heading1"/>
      </w:pPr>
      <w:r>
        <w:t xml:space="preserve">2. The occupational tenancies</w:t>
      </w:r>
    </w:p>
    <w:p>
      <w:pPr>
        <w:spacing w:after="120"/>
      </w:pPr>
      <w:r>
        <w:t xml:space="preserve">The Property is let to six tenants producing a total passing rent of £1,041,500 per annum exclusive. The weighted average unexpired lease term (to expiry) is 6.4 years (5.1 years to break). The principal lease terms are summarised below; the full tenancy schedule and rent schedule are appended.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1700"/>
        <w:gridCol w:w="1300"/>
        <w:gridCol w:w="1326"/>
      </w:tblGrid>
      <w:t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Floor / unit</w:t>
            </w:r>
          </w:p>
        </w:tc>
        <w:tc>
          <w:tcPr>
            <w:tcW w:type="dxa" w:w="2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Tenant</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Term</w:t>
            </w:r>
          </w:p>
        </w:tc>
        <w:tc>
          <w:tcPr>
            <w:tcW w:type="dxa" w:w="1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Rent p.a.x.</w:t>
            </w:r>
          </w:p>
        </w:tc>
        <w:tc>
          <w:tcPr>
            <w:tcW w:type="dxa" w:w="13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Expiry / break</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Ground &amp; 1st</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Aldermere Software Ltd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15 yrs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£402,000</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2032 / 2027</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2nd</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Harben Reilly LLP</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 yrs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£196,500</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2030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3rd</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Trevose Underwriting Ltd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 yrs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£188,000</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2031 / 2028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4th (part)</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Caldermoor Recruitment Ltd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5 yrs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£96,000</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2028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4th (part)</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Penn &amp; Vail Architects</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 yrs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£104,000</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2033 / 2028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Café unit</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Forbury Coffee Co. Ltd</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8 yrs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£55,000</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2030</w:t>
            </w:r>
          </w:p>
        </w:tc>
      </w:tr>
    </w:tbl>
    <w:p>
      <w:pPr>
        <w:pStyle w:val="Heading1"/>
      </w:pPr>
      <w:r>
        <w:t xml:space="preserve">3. Title matters and observations</w:t>
      </w:r>
    </w:p>
    <w:p>
      <w:pPr>
        <w:spacing w:after="120"/>
      </w:pPr>
      <w:r>
        <w:t xml:space="preserve">3.1  Rights and covenants. The freehold has the benefit of rights of access and service media over the adjoining Forbury Gardens estate, and is subject to estate service charge obligations and restrictive covenants imposed on the 2003 transfer (no building above 25 metres; no use otherwise than as offices, ancillary retail or car parking). None of these materially affects value or the intended holding strategy.</w:t>
      </w:r>
    </w:p>
    <w:p>
      <w:pPr>
        <w:spacing w:after="120"/>
      </w:pPr>
      <w:r>
        <w:t xml:space="preserve">3.2  Existing charge. The registered charge in favour of Northbank plc must be discharged at completion. The Seller’s solicitors have confirmed that an undertaking to discharge and a Form DS1 (or e-DS1) will be provided. We recommend completion is not effected until the undertaking is in our agreed form.</w:t>
      </w:r>
    </w:p>
    <w:p>
      <w:pPr>
        <w:spacing w:after="120"/>
      </w:pPr>
      <w:r>
        <w:t xml:space="preserve">3.3  Service charge. The Property is managed under an estate service charge. The 2025 service charge accounts disclose a small deficit of £18,400 carried forward; we have agreed an apportionment adjustment in the completion statement so the Buyer is not prejudiced.</w:t>
      </w:r>
    </w:p>
    <w:p>
      <w:pPr>
        <w:pStyle w:val="Heading1"/>
      </w:pPr>
      <w:r>
        <w:t xml:space="preserve">4. Searches</w:t>
      </w:r>
    </w:p>
    <w:p>
      <w:pPr>
        <w:spacing w:after="120"/>
      </w:pPr>
      <w:r>
        <w:t xml:space="preserve">We have reviewed the local authority (CON29), drainage and water (CON29DW), environmental (Groundsure) and chancel searches and a Highways/Network Rail search. The results are clear of anything that would prevent the acquisition. The environmental search flags a historic former use of part of the wider area but the desktop assessment is “passed”; no further action is recommended.</w:t>
      </w:r>
    </w:p>
    <w:p>
      <w:pPr>
        <w:pStyle w:val="Heading1"/>
      </w:pPr>
      <w:r>
        <w:t xml:space="preserve">5. VAT and SDLT</w:t>
      </w:r>
    </w:p>
    <w:p>
      <w:pPr>
        <w:spacing w:after="120"/>
      </w:pPr>
      <w:r>
        <w:t xml:space="preserve">The Property has been elected for VAT by the Seller. The parties intend to treat the sale as a transfer of a going concern. The Buyer must (i) opt to tax the Property and (ii) notify HMRC of the option, in each case before the relevant date, and the Buyer must not be an intermediary. SDLT is payable on the VAT-exclusive consideration of £14,250,000 at the non-residential rates, giving SDLT of £702,000, payable within 14 days of completion.</w:t>
      </w:r>
    </w:p>
    <w:p>
      <w:pPr>
        <w:pStyle w:val="Heading1"/>
      </w:pPr>
      <w:r>
        <w:t xml:space="preserve">6. Recommendation</w:t>
      </w:r>
    </w:p>
    <w:p>
      <w:pPr>
        <w:spacing w:after="120"/>
      </w:pPr>
      <w:r>
        <w:t xml:space="preserve">Subject to (a) receipt of the discharge undertaking in agreed form, (b) the TOGC conditions being satisfied at completion, and (c) the buildings insurance and rent authority letters being issued to tenants on completion, we are satisfied that the Buyer may safely proceed to exchange and completion of the acquisition at the agreed price of £14,250,000.</w:t>
      </w:r>
    </w:p>
    <w:p>
      <w:pPr>
        <w:spacing w:before="240"/>
      </w:pPr>
      <w:r>
        <w:rPr>
          <w:b/>
          <w:bCs/>
        </w:rPr>
        <w:t xml:space="preserve">Whitfield Carter LLP</w:t>
      </w:r>
    </w:p>
    <w:p>
      <w:pPr>
        <w:spacing w:after="120"/>
      </w:pPr>
      <w:r>
        <w:t xml:space="preserve">31 March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4"/>
        <w:szCs w:val="14"/>
      </w:rPr>
      <w:t xml:space="preserve">Report on Title  |  Whitfield Carter LLP is a limited liability partnership registered in England &amp; Wales.</w:t>
    </w:r>
  </w:p>
  <w:p>
    <w:pPr>
      <w:spacing w:after="0"/>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pBdr>
        <w:bottom w:val="single" w:color="1F3864" w:sz="6" w:space="4"/>
      </w:pBdr>
      <w:spacing w:after="120"/>
      <w:jc w:val="right"/>
    </w:pPr>
    <w:r>
      <w:rPr>
        <w:color w:val="595959"/>
        <w:sz w:val="16"/>
        <w:szCs w:val="16"/>
      </w:rPr>
      <w:t xml:space="preserve">T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2026-06-29T11:14:54.403Z</dcterms:created>
  <dcterms:modified xsi:type="dcterms:W3CDTF">2026-06-29T11:14:54.403Z</dcterms:modified>
</cp:coreProperties>
</file>

<file path=docProps/custom.xml><?xml version="1.0" encoding="utf-8"?>
<Properties xmlns="http://schemas.openxmlformats.org/officeDocument/2006/custom-properties" xmlns:vt="http://schemas.openxmlformats.org/officeDocument/2006/docPropsVTypes"/>
</file>