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2"/>
          <w:szCs w:val="22"/>
        </w:rPr>
        <w:t xml:space="preserve">CPSE.1 (version 3.8) — Replies to General Pre-contract Enquiries</w:t>
      </w:r>
    </w:p>
    <w:p>
      <w:pPr>
        <w:spacing w:after="160"/>
        <w:jc w:val="center"/>
      </w:pPr>
      <w:r>
        <w:rPr>
          <w:sz w:val="18"/>
          <w:szCs w:val="18"/>
        </w:rPr>
        <w:t xml:space="preserve">Property: Cygnet House, 8 Tabard Street, London SE1 4JU  ·  Seller: Ravenscroft Estates Limited</w:t>
      </w:r>
    </w:p>
    <w:p>
      <w:pPr>
        <w:spacing w:after="120"/>
      </w:pPr>
      <w:r>
        <w:rPr>
          <w:i/>
          <w:iCs/>
          <w:sz w:val="18"/>
          <w:szCs w:val="18"/>
        </w:rPr>
        <w:t xml:space="preserve">These replies are given by Pemberton Rowe LLP on behalf of the Seller. They are given in good faith on the basis of information presently available to the Seller and are subject to the principles in the CPSE General Conditions and Guidance Notes. Where a reply states “not so far as the Seller is aware”, the Seller has made the enquiries that would be reasonable in the circumstances.</w:t>
      </w:r>
    </w:p>
    <w:p>
      <w:pPr>
        <w:spacing w:after="40" w:before="120"/>
      </w:pPr>
      <w:r>
        <w:rPr>
          <w:b/>
          <w:bCs/>
          <w:sz w:val="18"/>
          <w:szCs w:val="18"/>
        </w:rPr>
        <w:t xml:space="preserve">1.  Boundaries and extent</w:t>
      </w:r>
    </w:p>
    <w:p>
      <w:pPr>
        <w:spacing w:after="120"/>
      </w:pPr>
      <w:r>
        <w:rPr>
          <w:b/>
          <w:bCs/>
        </w:rPr>
        <w:t xml:space="preserve">Reply: </w:t>
      </w:r>
      <w:r>
        <w:rPr>
          <w:sz w:val="18"/>
          <w:szCs w:val="18"/>
        </w:rPr>
        <w:t xml:space="preserve">The boundaries are as shown edged red on the title plan to title number TGL445218. The Seller is not aware of any boundary feature for which it is not responsible save as shown on the title plan. There are no boundary disputes.</w:t>
      </w:r>
    </w:p>
    <w:p>
      <w:pPr>
        <w:spacing w:after="40" w:before="120"/>
      </w:pPr>
      <w:r>
        <w:rPr>
          <w:b/>
          <w:bCs/>
          <w:sz w:val="18"/>
          <w:szCs w:val="18"/>
        </w:rPr>
        <w:t xml:space="preserve">2.  Party walls</w:t>
      </w:r>
    </w:p>
    <w:p>
      <w:pPr>
        <w:spacing w:after="120"/>
      </w:pPr>
      <w:r>
        <w:rPr>
          <w:b/>
          <w:bCs/>
        </w:rPr>
        <w:t xml:space="preserve">Reply: </w:t>
      </w:r>
      <w:r>
        <w:rPr>
          <w:sz w:val="18"/>
          <w:szCs w:val="18"/>
        </w:rPr>
        <w:t xml:space="preserve">The flank wall to the north of the building adjoining 6 Tabard Street is believed to be a party wall within the Party Wall etc. Act 1996. No party wall awards have been made in the Seller’s period of ownership.</w:t>
      </w:r>
    </w:p>
    <w:p>
      <w:pPr>
        <w:spacing w:after="40" w:before="120"/>
      </w:pPr>
      <w:r>
        <w:rPr>
          <w:b/>
          <w:bCs/>
          <w:sz w:val="18"/>
          <w:szCs w:val="18"/>
        </w:rPr>
        <w:t xml:space="preserve">3.  Rights benefiting the Property</w:t>
      </w:r>
    </w:p>
    <w:p>
      <w:pPr>
        <w:spacing w:after="120"/>
      </w:pPr>
      <w:r>
        <w:rPr>
          <w:b/>
          <w:bCs/>
        </w:rPr>
        <w:t xml:space="preserve">Reply: </w:t>
      </w:r>
      <w:r>
        <w:rPr>
          <w:sz w:val="18"/>
          <w:szCs w:val="18"/>
        </w:rPr>
        <w:t xml:space="preserve">The Property benefits from the rights of access, support, services and means of escape set out in the registered title. Refuse and cycle storage to the rear is enjoyed under a deed of grant dated 4 March 2014 (copy supplied).</w:t>
      </w:r>
    </w:p>
    <w:p>
      <w:pPr>
        <w:spacing w:after="40" w:before="120"/>
      </w:pPr>
      <w:r>
        <w:rPr>
          <w:b/>
          <w:bCs/>
          <w:sz w:val="18"/>
          <w:szCs w:val="18"/>
        </w:rPr>
        <w:t xml:space="preserve">4.  Adverse rights affecting the Property</w:t>
      </w:r>
    </w:p>
    <w:p>
      <w:pPr>
        <w:spacing w:after="120"/>
      </w:pPr>
      <w:r>
        <w:rPr>
          <w:b/>
          <w:bCs/>
        </w:rPr>
        <w:t xml:space="preserve">Reply: </w:t>
      </w:r>
      <w:r>
        <w:rPr>
          <w:sz w:val="18"/>
          <w:szCs w:val="18"/>
        </w:rPr>
        <w:t xml:space="preserve">The Property is sold subject to the matters contained or referred to in the property and charges registers of title number TGL445218, including a deed of easement dated 12 June 2009 in favour of Thames Water Utilities Limited.</w:t>
      </w:r>
    </w:p>
    <w:p>
      <w:pPr>
        <w:spacing w:after="40" w:before="120"/>
      </w:pPr>
      <w:r>
        <w:rPr>
          <w:b/>
          <w:bCs/>
          <w:sz w:val="18"/>
          <w:szCs w:val="18"/>
        </w:rPr>
        <w:t xml:space="preserve">5.  Title policies</w:t>
      </w:r>
    </w:p>
    <w:p>
      <w:pPr>
        <w:spacing w:after="120"/>
      </w:pPr>
      <w:r>
        <w:rPr>
          <w:b/>
          <w:bCs/>
        </w:rPr>
        <w:t xml:space="preserve">Reply: </w:t>
      </w:r>
      <w:r>
        <w:rPr>
          <w:sz w:val="18"/>
          <w:szCs w:val="18"/>
        </w:rPr>
        <w:t xml:space="preserve">No defective title indemnity policies are in place.</w:t>
      </w:r>
    </w:p>
    <w:p>
      <w:pPr>
        <w:spacing w:after="40" w:before="120"/>
      </w:pPr>
      <w:r>
        <w:rPr>
          <w:b/>
          <w:bCs/>
          <w:sz w:val="18"/>
          <w:szCs w:val="18"/>
        </w:rPr>
        <w:t xml:space="preserve">6.  Access to neighbouring land</w:t>
      </w:r>
    </w:p>
    <w:p>
      <w:pPr>
        <w:spacing w:after="120"/>
      </w:pPr>
      <w:r>
        <w:rPr>
          <w:b/>
          <w:bCs/>
        </w:rPr>
        <w:t xml:space="preserve">Reply: </w:t>
      </w:r>
      <w:r>
        <w:rPr>
          <w:sz w:val="18"/>
          <w:szCs w:val="18"/>
        </w:rPr>
        <w:t xml:space="preserve">No formal rights of access over neighbouring land are required for the maintenance of the Property, save the right of access for refuse and cycle storage referred to in reply 3.</w:t>
      </w:r>
    </w:p>
    <w:p>
      <w:pPr>
        <w:spacing w:after="40" w:before="120"/>
      </w:pPr>
      <w:r>
        <w:rPr>
          <w:b/>
          <w:bCs/>
          <w:sz w:val="18"/>
          <w:szCs w:val="18"/>
        </w:rPr>
        <w:t xml:space="preserve">7.  Physical condition</w:t>
      </w:r>
    </w:p>
    <w:p>
      <w:pPr>
        <w:spacing w:after="120"/>
      </w:pPr>
      <w:r>
        <w:rPr>
          <w:b/>
          <w:bCs/>
        </w:rPr>
        <w:t xml:space="preserve">Reply: </w:t>
      </w:r>
      <w:r>
        <w:rPr>
          <w:sz w:val="18"/>
          <w:szCs w:val="18"/>
        </w:rPr>
        <w:t xml:space="preserve">The Seller has not carried out a structural survey. A measured survey dated 2021 is available. The Seller is not aware of any structural defects save the historic water ingress at lower ground floor level remedied in 2022 (works invoice available).</w:t>
      </w:r>
    </w:p>
    <w:p>
      <w:pPr>
        <w:spacing w:after="40" w:before="120"/>
      </w:pPr>
      <w:r>
        <w:rPr>
          <w:b/>
          <w:bCs/>
          <w:sz w:val="18"/>
          <w:szCs w:val="18"/>
        </w:rPr>
        <w:t xml:space="preserve">8.  Contents</w:t>
      </w:r>
    </w:p>
    <w:p>
      <w:pPr>
        <w:spacing w:after="120"/>
      </w:pPr>
      <w:r>
        <w:rPr>
          <w:b/>
          <w:bCs/>
        </w:rPr>
        <w:t xml:space="preserve">Reply: </w:t>
      </w:r>
      <w:r>
        <w:rPr>
          <w:sz w:val="18"/>
          <w:szCs w:val="18"/>
        </w:rPr>
        <w:t xml:space="preserve">The fixtures and fittings to be included are limited to landlord’s plant and the common-parts items listed in the inventory annexed to the draft contract. Tenants’ fixtures are excluded.</w:t>
      </w:r>
    </w:p>
    <w:p>
      <w:pPr>
        <w:spacing w:after="40" w:before="120"/>
      </w:pPr>
      <w:r>
        <w:rPr>
          <w:b/>
          <w:bCs/>
          <w:sz w:val="18"/>
          <w:szCs w:val="18"/>
        </w:rPr>
        <w:t xml:space="preserve">9.  Utilities and services</w:t>
      </w:r>
    </w:p>
    <w:p>
      <w:pPr>
        <w:spacing w:after="120"/>
      </w:pPr>
      <w:r>
        <w:rPr>
          <w:b/>
          <w:bCs/>
        </w:rPr>
        <w:t xml:space="preserve">Reply: </w:t>
      </w:r>
      <w:r>
        <w:rPr>
          <w:sz w:val="18"/>
          <w:szCs w:val="18"/>
        </w:rPr>
        <w:t xml:space="preserve">Mains water, drainage, electricity and gas are connected. The Property is served by three-phase electricity. The Seller is not aware of any inadequacy in the services.</w:t>
      </w:r>
    </w:p>
    <w:p>
      <w:pPr>
        <w:spacing w:after="40" w:before="120"/>
      </w:pPr>
      <w:r>
        <w:rPr>
          <w:b/>
          <w:bCs/>
          <w:sz w:val="18"/>
          <w:szCs w:val="18"/>
        </w:rPr>
        <w:t xml:space="preserve">10.  Fire safety and means of escape</w:t>
      </w:r>
    </w:p>
    <w:p>
      <w:pPr>
        <w:spacing w:after="120"/>
      </w:pPr>
      <w:r>
        <w:rPr>
          <w:b/>
          <w:bCs/>
        </w:rPr>
        <w:t xml:space="preserve">Reply: </w:t>
      </w:r>
      <w:r>
        <w:rPr>
          <w:sz w:val="18"/>
          <w:szCs w:val="18"/>
        </w:rPr>
        <w:t xml:space="preserve">The Property holds a current fire risk assessment dated 9 January 2025 (copy supplied). A programme of remedial actions identified in the assessment was completed in March 2025. The cladding to the Tabard Street elevation is brick and curtain glazing; no ACM or HPL cladding is present.</w:t>
      </w:r>
    </w:p>
    <w:p>
      <w:pPr>
        <w:spacing w:after="40" w:before="120"/>
      </w:pPr>
      <w:r>
        <w:rPr>
          <w:b/>
          <w:bCs/>
          <w:sz w:val="18"/>
          <w:szCs w:val="18"/>
        </w:rPr>
        <w:t xml:space="preserve">11.  Environmental</w:t>
      </w:r>
    </w:p>
    <w:p>
      <w:pPr>
        <w:spacing w:after="120"/>
      </w:pPr>
      <w:r>
        <w:rPr>
          <w:b/>
          <w:bCs/>
        </w:rPr>
        <w:t xml:space="preserve">Reply: </w:t>
      </w:r>
      <w:r>
        <w:rPr>
          <w:sz w:val="18"/>
          <w:szCs w:val="18"/>
        </w:rPr>
        <w:t xml:space="preserve">A Phase 1 environmental report dated 2018 is available and disclosed no significant contamination. The Seller has received no notice under Part IIA of the Environmental Protection Act 1990.</w:t>
      </w:r>
    </w:p>
    <w:p>
      <w:pPr>
        <w:spacing w:after="40" w:before="120"/>
      </w:pPr>
      <w:r>
        <w:rPr>
          <w:b/>
          <w:bCs/>
          <w:sz w:val="18"/>
          <w:szCs w:val="18"/>
        </w:rPr>
        <w:t xml:space="preserve">12.  Occupation</w:t>
      </w:r>
    </w:p>
    <w:p>
      <w:pPr>
        <w:spacing w:after="120"/>
      </w:pPr>
      <w:r>
        <w:rPr>
          <w:b/>
          <w:bCs/>
        </w:rPr>
        <w:t xml:space="preserve">Reply: </w:t>
      </w:r>
      <w:r>
        <w:rPr>
          <w:sz w:val="18"/>
          <w:szCs w:val="18"/>
        </w:rPr>
        <w:t xml:space="preserve">The Property is let to the eight tenants identified in the Tenancy Schedule. There are no occupiers other than under those leases. Vacant possession is given of the common parts only.</w:t>
      </w:r>
    </w:p>
    <w:p>
      <w:pPr>
        <w:spacing w:after="40" w:before="120"/>
      </w:pPr>
      <w:r>
        <w:rPr>
          <w:b/>
          <w:bCs/>
          <w:sz w:val="18"/>
          <w:szCs w:val="18"/>
        </w:rPr>
        <w:t xml:space="preserve">13.  Tenancies — general</w:t>
      </w:r>
    </w:p>
    <w:p>
      <w:pPr>
        <w:spacing w:after="120"/>
      </w:pPr>
      <w:r>
        <w:rPr>
          <w:b/>
          <w:bCs/>
        </w:rPr>
        <w:t xml:space="preserve">Reply: </w:t>
      </w:r>
      <w:r>
        <w:rPr>
          <w:sz w:val="18"/>
          <w:szCs w:val="18"/>
        </w:rPr>
        <w:t xml:space="preserve">Copies of the eight occupational leases, licences for alterations and the two rent deposit deeds (Units 2 and 5) are supplied. The current rent roll is £1,453,500 per annum exclusive. Save as disclosed in the Tenancy Schedule there are no rent reviews currently in progress and no arrears exceeding one quarter.</w:t>
      </w:r>
    </w:p>
    <w:p>
      <w:pPr>
        <w:spacing w:after="40" w:before="120"/>
      </w:pPr>
      <w:r>
        <w:rPr>
          <w:b/>
          <w:bCs/>
          <w:sz w:val="18"/>
          <w:szCs w:val="18"/>
        </w:rPr>
        <w:t xml:space="preserve">14.  Rent reviews</w:t>
      </w:r>
    </w:p>
    <w:p>
      <w:pPr>
        <w:spacing w:after="120"/>
      </w:pPr>
      <w:r>
        <w:rPr>
          <w:b/>
          <w:bCs/>
        </w:rPr>
        <w:t xml:space="preserve">Reply: </w:t>
      </w:r>
      <w:r>
        <w:rPr>
          <w:sz w:val="18"/>
          <w:szCs w:val="18"/>
        </w:rPr>
        <w:t xml:space="preserve">The next rent reviews fall due as set out in the Tenancy Schedule. The outstanding review for Unit 4 (review date 25 March 2025) is the subject of without-prejudice discussions; no memorandum has yet been completed.</w:t>
      </w:r>
    </w:p>
    <w:p>
      <w:pPr>
        <w:spacing w:after="40" w:before="120"/>
      </w:pPr>
      <w:r>
        <w:rPr>
          <w:b/>
          <w:bCs/>
          <w:sz w:val="18"/>
          <w:szCs w:val="18"/>
        </w:rPr>
        <w:t xml:space="preserve">15.  Service charge</w:t>
      </w:r>
    </w:p>
    <w:p>
      <w:pPr>
        <w:spacing w:after="120"/>
      </w:pPr>
      <w:r>
        <w:rPr>
          <w:b/>
          <w:bCs/>
        </w:rPr>
        <w:t xml:space="preserve">Reply: </w:t>
      </w:r>
      <w:r>
        <w:rPr>
          <w:sz w:val="18"/>
          <w:szCs w:val="18"/>
        </w:rPr>
        <w:t xml:space="preserve">The service charge year ends on 31 December. The 2024 reconciliation has been finalised and issued. The 2025 on-account budget is £168,400. A small surplus is anticipated. The Seller agrees to a completion retention of £18,000 pending the 2025 reconciliation.</w:t>
      </w:r>
    </w:p>
    <w:p>
      <w:pPr>
        <w:spacing w:after="40" w:before="120"/>
      </w:pPr>
      <w:r>
        <w:rPr>
          <w:b/>
          <w:bCs/>
          <w:sz w:val="18"/>
          <w:szCs w:val="18"/>
        </w:rPr>
        <w:t xml:space="preserve">16.  Insurance</w:t>
      </w:r>
    </w:p>
    <w:p>
      <w:pPr>
        <w:spacing w:after="120"/>
      </w:pPr>
      <w:r>
        <w:rPr>
          <w:b/>
          <w:bCs/>
        </w:rPr>
        <w:t xml:space="preserve">Reply: </w:t>
      </w:r>
      <w:r>
        <w:rPr>
          <w:sz w:val="18"/>
          <w:szCs w:val="18"/>
        </w:rPr>
        <w:t xml:space="preserve">The Property is insured under a block policy with Aviva (policy MX-44821). The premium for the current year is £41,260, recharged to tenants under the leases. The policy will be cancelled on completion and the Buyer must arrange its own cover.</w:t>
      </w:r>
    </w:p>
    <w:p>
      <w:pPr>
        <w:spacing w:after="40" w:before="120"/>
      </w:pPr>
      <w:r>
        <w:rPr>
          <w:b/>
          <w:bCs/>
          <w:sz w:val="18"/>
          <w:szCs w:val="18"/>
        </w:rPr>
        <w:t xml:space="preserve">17.  VAT</w:t>
      </w:r>
    </w:p>
    <w:p>
      <w:pPr>
        <w:spacing w:after="120"/>
      </w:pPr>
      <w:r>
        <w:rPr>
          <w:b/>
          <w:bCs/>
        </w:rPr>
        <w:t xml:space="preserve">Reply: </w:t>
      </w:r>
      <w:r>
        <w:rPr>
          <w:sz w:val="18"/>
          <w:szCs w:val="18"/>
        </w:rPr>
        <w:t xml:space="preserve">The Seller has opted to tax the Property with effect from 1 April 2014. The sale is intended to be treated as a transfer of a going concern; the Buyer is required to opt to tax and notify HMRC before completion.</w:t>
      </w:r>
    </w:p>
    <w:p>
      <w:pPr>
        <w:spacing w:after="40" w:before="120"/>
      </w:pPr>
      <w:r>
        <w:rPr>
          <w:b/>
          <w:bCs/>
          <w:sz w:val="18"/>
          <w:szCs w:val="18"/>
        </w:rPr>
        <w:t xml:space="preserve">18.  Capital allowances</w:t>
      </w:r>
    </w:p>
    <w:p>
      <w:pPr>
        <w:spacing w:after="120"/>
      </w:pPr>
      <w:r>
        <w:rPr>
          <w:b/>
          <w:bCs/>
        </w:rPr>
        <w:t xml:space="preserve">Reply: </w:t>
      </w:r>
      <w:r>
        <w:rPr>
          <w:sz w:val="18"/>
          <w:szCs w:val="18"/>
        </w:rPr>
        <w:t xml:space="preserve">The Seller has claimed capital allowances on certain plant and machinery. A section 198 CAA 2001 election in the agreed sum of £1 is proposed and a draft is annexed to the draft contract.</w:t>
      </w:r>
    </w:p>
    <w:p>
      <w:pPr>
        <w:spacing w:after="40" w:before="120"/>
      </w:pPr>
      <w:r>
        <w:rPr>
          <w:b/>
          <w:bCs/>
          <w:sz w:val="18"/>
          <w:szCs w:val="18"/>
        </w:rPr>
        <w:t xml:space="preserve">19.  Statutory agreements and consents</w:t>
      </w:r>
    </w:p>
    <w:p>
      <w:pPr>
        <w:spacing w:after="120"/>
      </w:pPr>
      <w:r>
        <w:rPr>
          <w:b/>
          <w:bCs/>
        </w:rPr>
        <w:t xml:space="preserve">Reply: </w:t>
      </w:r>
      <w:r>
        <w:rPr>
          <w:sz w:val="18"/>
          <w:szCs w:val="18"/>
        </w:rPr>
        <w:t xml:space="preserve">Planning permission 14/AP/2203 for the refurbishment of the third and fourth floors was implemented and discharged. There are no outstanding planning conditions or section 106 obligations affecting the Property.</w:t>
      </w:r>
    </w:p>
    <w:p>
      <w:pPr>
        <w:spacing w:after="40" w:before="120"/>
      </w:pPr>
      <w:r>
        <w:rPr>
          <w:b/>
          <w:bCs/>
          <w:sz w:val="18"/>
          <w:szCs w:val="18"/>
        </w:rPr>
        <w:t xml:space="preserve">20.  Disputes</w:t>
      </w:r>
    </w:p>
    <w:p>
      <w:pPr>
        <w:spacing w:after="120"/>
      </w:pPr>
      <w:r>
        <w:rPr>
          <w:b/>
          <w:bCs/>
        </w:rPr>
        <w:t xml:space="preserve">Reply: </w:t>
      </w:r>
      <w:r>
        <w:rPr>
          <w:sz w:val="18"/>
          <w:szCs w:val="18"/>
        </w:rPr>
        <w:t xml:space="preserve">There are no current disputes affecting the Property save the without-prejudice rent review discussions for Unit 4 referred to in reply 14.</w:t>
      </w:r>
    </w:p>
    <w:p>
      <w:r>
        <w:t xml:space="preserve"/>
      </w:r>
    </w:p>
    <w:p>
      <w:pPr>
        <w:spacing w:after="120"/>
      </w:pPr>
      <w:r>
        <w:rPr>
          <w:i/>
          <w:iCs/>
          <w:sz w:val="18"/>
          <w:szCs w:val="18"/>
        </w:rPr>
        <w:t xml:space="preserve">Replies given by: Pemberton Rowe LLP, solicitors for the Seller · Dated 1 September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2026-06-25T22:15:11.735Z</dcterms:created>
  <dcterms:modified xsi:type="dcterms:W3CDTF">2026-06-25T22:15:11.735Z</dcterms:modified>
</cp:coreProperties>
</file>

<file path=docProps/custom.xml><?xml version="1.0" encoding="utf-8"?>
<Properties xmlns="http://schemas.openxmlformats.org/officeDocument/2006/custom-properties" xmlns:vt="http://schemas.openxmlformats.org/officeDocument/2006/docPropsVTypes"/>
</file>