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PROJECT MOSAIC</w:t>
      </w:r>
    </w:p>
    <w:p>
      <w:pPr>
        <w:spacing w:after="60"/>
        <w:jc w:val="center"/>
      </w:pPr>
      <w:r>
        <w:rPr>
          <w:b/>
          <w:bCs/>
          <w:sz w:val="22"/>
          <w:szCs w:val="22"/>
        </w:rPr>
        <w:t xml:space="preserve">Heads of Terms — Acquisition of Cygnet House, 8 Tabard Street, London SE1 4JU</w:t>
      </w:r>
    </w:p>
    <w:p>
      <w:pPr>
        <w:spacing w:after="200"/>
        <w:jc w:val="center"/>
      </w:pPr>
      <w:r>
        <w:rPr>
          <w:i/>
          <w:iCs/>
          <w:sz w:val="18"/>
          <w:szCs w:val="18"/>
        </w:rPr>
        <w:t xml:space="preserve">Subject to contract · Not legally binding (save for paragraphs 12 to 14) · 14 August 2025</w:t>
      </w:r>
    </w:p>
    <w:p>
      <w:pPr>
        <w:spacing w:after="120"/>
      </w:pPr>
      <w:r>
        <w:t xml:space="preserve">These heads of terms record the principal terms provisionally agreed between the parties in respect of the proposed sale and purchase of the Property. Save for paragraphs 12 (Exclusivity), 13 (Costs) and 14 (Confidentiality), they are subject to contract and are not intended to be legally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Property</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The freehold interest in Cygnet House, 8 Tabard Street, London SE1 4JU, registered at HM Land Registry under title number TGL445218.</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Seller</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Ravenscroft Estates Limited (company no. 06214887), Cygnet House, 8 Tabard Street, London SE1 4JU.</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Buyer</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Marchwood Property Group Limited (company no. 11820744) or a wholly-owned special purpose vehicle nominated by it before exchange.</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Interest sold</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Freehold, sold subject to and with the benefit of the eight occupational leases listed in the Tenancy Schedule, with vacant possession of common parts only.</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Purchase price</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£21,750,000 (twenty-one million seven hundred and fifty thousand pounds), exclusive of VAT, reflecting a net initial yield of approximately 6.28% after standard purchaser’s costs of 6.39%.</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VAT / TOGC</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The sale is intended to be treated as a transfer of a going concern. The Buyer will opt to tax and notify HMRC before completion; the Seller has opted to tax.</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Deposit</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10% of the purchase price (£2,175,000) payable on exchange, to be held by the Seller’s solicitors as stakeholder.</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Passing rent</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£1,453,500 per annum exclusive, payable quarterly in advance, as set out in the Tenancy Schedule.</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WAULT</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Approximately 6.2 years to expiry (4.9 years to first break).</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Conditions</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Sale conditional only on satisfactory replies to enquiries and searches; not conditional on funding.</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Target dates</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Exchange by 19 September 2025; completion by 10 October 2025 (or earlier by agreement).</w:t>
            </w:r>
          </w:p>
        </w:tc>
      </w:tr>
    </w:tbl>
    <w:p>
      <w:pPr>
        <w:pStyle w:val="Heading2"/>
      </w:pPr>
      <w:r>
        <w:t xml:space="preserve">1.  Title and tenancies</w:t>
      </w:r>
    </w:p>
    <w:p>
      <w:pPr>
        <w:spacing w:after="120"/>
      </w:pPr>
      <w:r>
        <w:t xml:space="preserve">The Property is sold subject to and with the benefit of the eight occupational leases summarised in the Tenancy Schedule annexed. The Seller will provide official copies of the registered title, the leases, the rent deposit deeds held in respect of Units 2 and 5, and a certified tenancy schedule. The Buyer will take the benefit of, and assume responsibility for, the existing rent deposits (totalling £221,500) which will be transferred on completion.</w:t>
      </w:r>
    </w:p>
    <w:p>
      <w:pPr>
        <w:pStyle w:val="Heading2"/>
      </w:pPr>
      <w:r>
        <w:t xml:space="preserve">2.  Service charge and management</w:t>
      </w:r>
    </w:p>
    <w:p>
      <w:pPr>
        <w:spacing w:after="120"/>
      </w:pPr>
      <w:r>
        <w:t xml:space="preserve">A service charge reconciliation to the completion date will be provided. A retention of £18,000 from the purchase price is to be held by the Buyer’s solicitors pending the agreed reconciliation of the service charge year ending 31 December 2025, to be released within 20 working days of agreement.</w:t>
      </w:r>
    </w:p>
    <w:p>
      <w:pPr>
        <w:pStyle w:val="Heading2"/>
      </w:pPr>
      <w:r>
        <w:t xml:space="preserve">3.  Apportionments</w:t>
      </w:r>
    </w:p>
    <w:p>
      <w:pPr>
        <w:spacing w:after="120"/>
      </w:pPr>
      <w:r>
        <w:t xml:space="preserve">Rents, service charge and insurance rent will be apportioned on completion on the basis of the quarter day immediately preceding completion (29 September 2025). Rents demanded but unpaid at completion will be dealt with under the standard completion arrears mechanism in the contract.</w:t>
      </w:r>
    </w:p>
    <w:p>
      <w:pPr>
        <w:pStyle w:val="Heading2"/>
      </w:pPr>
      <w:r>
        <w:t xml:space="preserve">4.  Searches and enquiries</w:t>
      </w:r>
    </w:p>
    <w:p>
      <w:pPr>
        <w:spacing w:after="120"/>
      </w:pPr>
      <w:r>
        <w:t xml:space="preserve">The Buyer’s solicitors will carry out the usual pre-contract searches and raise CPSE.1 (version 3.8) and CPSE.4 enquiries. The Seller will reply within 10 working days of receipt.</w:t>
      </w:r>
    </w:p>
    <w:p>
      <w:pPr>
        <w:pStyle w:val="Heading2"/>
      </w:pPr>
      <w:r>
        <w:t xml:space="preserve">5.  Conditions of sale</w:t>
      </w:r>
    </w:p>
    <w:p>
      <w:pPr>
        <w:spacing w:after="120"/>
      </w:pPr>
      <w:r>
        <w:t xml:space="preserve">The contract will incorporate the Standard Commercial Property Conditions (Third Edition — 2018 Revision) as varied by the special conditions to be agreed. Completion will take place 20 working days after exchange or on the target completion date, whichever is the earlier.</w:t>
      </w:r>
    </w:p>
    <w:p>
      <w:pPr>
        <w:pStyle w:val="Heading2"/>
      </w:pPr>
      <w:r>
        <w:t xml:space="preserve">12.  Exclusivity</w:t>
      </w:r>
    </w:p>
    <w:p>
      <w:pPr>
        <w:spacing w:after="120"/>
      </w:pPr>
      <w:r>
        <w:t xml:space="preserve">In consideration of the Buyer incurring costs in progressing the transaction, the Seller agrees that for a period of six weeks from the date of these heads of terms (the “Exclusivity Period”) it will not, and will procure that its agents do not, solicit, negotiate or accept any offer from, or provide information to, any third party in respect of the sale of the Property. This paragraph is legally binding.</w:t>
      </w:r>
    </w:p>
    <w:p>
      <w:pPr>
        <w:pStyle w:val="Heading2"/>
      </w:pPr>
      <w:r>
        <w:t xml:space="preserve">13.  Costs</w:t>
      </w:r>
    </w:p>
    <w:p>
      <w:pPr>
        <w:spacing w:after="120"/>
      </w:pPr>
      <w:r>
        <w:t xml:space="preserve">Each party will bear its own professional costs. If the Buyer withdraws other than as a result of a material title defect, the Seller’s breach of paragraph 12, or a matter materially and adversely affecting value first disclosed after the date of these heads of terms, the Buyer will reimburse the Seller’s reasonable and properly incurred abortive legal costs up to £7,500 plus VAT. This paragraph is legally binding.</w:t>
      </w:r>
    </w:p>
    <w:p>
      <w:pPr>
        <w:pStyle w:val="Heading2"/>
      </w:pPr>
      <w:r>
        <w:t xml:space="preserve">14.  Confidentiality</w:t>
      </w:r>
    </w:p>
    <w:p>
      <w:pPr>
        <w:spacing w:after="120"/>
      </w:pPr>
      <w:r>
        <w:t xml:space="preserve">Each party will keep the existence and terms of the proposed transaction confidential, save for disclosure to its professional advisers, funders and as required by law. This paragraph is legally binding.</w:t>
      </w:r>
    </w:p>
    <w:p>
      <w:r>
        <w:t xml:space="preserve"/>
      </w:r>
    </w:p>
    <w:p>
      <w:pPr>
        <w:spacing w:after="120"/>
      </w:pPr>
      <w:r>
        <w:t xml:space="preserve">Agreed in principle, subject to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For the Seller</w:t>
            </w:r>
          </w:p>
        </w:tc>
        <w:tc>
          <w:tcPr>
            <w:tcW w:type="dxa" w:w="6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Ravenscroft Estates Limited — ............................ (Alan Renton, Director)</w:t>
            </w:r>
          </w:p>
        </w:tc>
      </w:tr>
      <w:tr>
        <w:tc>
          <w:tcPr>
            <w:tcW w:type="dxa" w:w="26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For the Buyer</w:t>
            </w:r>
          </w:p>
        </w:tc>
        <w:tc>
          <w:tcPr>
            <w:tcW w:type="dxa" w:w="6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Marchwood Property Group Limited — ............................ (Daniel Hartley, Managing Director)</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720" w:hanging="720"/>
      </w:pPr>
    </w:lvl>
    <w:lvl w:ilvl="2" w15:tentative="1">
      <w:start w:val="1"/>
      <w:numFmt w:val="lowerLetter"/>
      <w:lvlText w:val="(%3)"/>
      <w:lvlJc w:val="left"/>
      <w:pPr>
        <w:ind w:left="1440" w:hanging="720"/>
      </w:pPr>
    </w:lvl>
    <w:lvl w:ilvl="3" w15:tentative="1">
      <w:start w:val="1"/>
      <w:numFmt w:val="lowerRoman"/>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2026-06-25T22:15:11.723Z</dcterms:created>
  <dcterms:modified xsi:type="dcterms:W3CDTF">2026-06-25T22:15:11.723Z</dcterms:modified>
</cp:coreProperties>
</file>

<file path=docProps/custom.xml><?xml version="1.0" encoding="utf-8"?>
<Properties xmlns="http://schemas.openxmlformats.org/officeDocument/2006/custom-properties" xmlns:vt="http://schemas.openxmlformats.org/officeDocument/2006/docPropsVTypes"/>
</file>