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20"/>
          <w:szCs w:val="20"/>
        </w:rPr>
        <w:t xml:space="preserve">DATED 10 OCTOBER 2025</w:t>
      </w:r>
    </w:p>
    <w:p>
      <w:r>
        <w:t xml:space="preserve"/>
      </w:r>
    </w:p>
    <w:p>
      <w:r>
        <w:t xml:space="preserve"/>
      </w:r>
    </w:p>
    <w:p>
      <w:pPr>
        <w:jc w:val="center"/>
      </w:pPr>
      <w:r>
        <w:rPr>
          <w:b/>
          <w:bCs/>
        </w:rPr>
        <w:t xml:space="preserve">(1) MARCHWOOD PROPERTY GROUP LIMITED</w:t>
      </w:r>
    </w:p>
    <w:p>
      <w:pPr>
        <w:jc w:val="center"/>
      </w:pPr>
      <w:r>
        <w:rPr>
          <w:b/>
          <w:bCs/>
        </w:rPr>
        <w:t xml:space="preserve">(2) MERIDIAN DESIGN STUDIO LIMITED</w:t>
      </w:r>
    </w:p>
    <w:p>
      <w:r>
        <w:t xml:space="preserve"/>
      </w:r>
    </w:p>
    <w:p>
      <w:r>
        <w:t xml:space="preserve"/>
      </w:r>
    </w:p>
    <w:p>
      <w:pPr>
        <w:spacing w:after="60"/>
        <w:jc w:val="center"/>
      </w:pPr>
      <w:r>
        <w:rPr>
          <w:b/>
          <w:bCs/>
          <w:sz w:val="26"/>
          <w:szCs w:val="26"/>
        </w:rPr>
        <w:t xml:space="preserve">RENT DEPOSIT DEED</w:t>
      </w:r>
    </w:p>
    <w:p>
      <w:pPr>
        <w:spacing w:after="240"/>
        <w:jc w:val="center"/>
      </w:pPr>
      <w:r>
        <w:rPr>
          <w:sz w:val="18"/>
          <w:szCs w:val="18"/>
        </w:rPr>
        <w:t xml:space="preserve">relating to Unit 5, Cygnet House, 8 Tabard Street, London SE1 4JU</w:t>
      </w:r>
    </w:p>
    <w:p>
      <w:pPr>
        <w:spacing w:after="120"/>
      </w:pPr>
      <w:r>
        <w:t xml:space="preserve">THIS DEED is made on 10 October 2025</w:t>
      </w:r>
    </w:p>
    <w:p>
      <w:pPr>
        <w:pStyle w:val="Heading2"/>
      </w:pPr>
      <w:r>
        <w:t xml:space="preserve">Parties</w:t>
      </w:r>
    </w:p>
    <w:p>
      <w:pPr>
        <w:pStyle w:val="ListParagraph"/>
        <w:numPr>
          <w:ilvl w:val="0"/>
          <w:numId w:val="2"/>
        </w:numPr>
        <w:spacing w:after="100"/>
      </w:pPr>
      <w:r>
        <w:t xml:space="preserve">MARCHWOOD PROPERTY GROUP LIMITED (company number 11820744) whose registered office is at Flint House, 12 Finsbury Circus, London EC2M 7EA (the “Landlord”); and</w:t>
      </w:r>
    </w:p>
    <w:p>
      <w:pPr>
        <w:pStyle w:val="ListParagraph"/>
        <w:numPr>
          <w:ilvl w:val="0"/>
          <w:numId w:val="2"/>
        </w:numPr>
        <w:spacing w:after="100"/>
      </w:pPr>
      <w:r>
        <w:t xml:space="preserve">MERIDIAN DESIGN STUDIO LIMITED (company number 09112540) whose registered office is at Unit 5, Cygnet House, 8 Tabard Street, London SE1 4JU (the “Tenant”).</w:t>
      </w:r>
    </w:p>
    <w:p>
      <w:pPr>
        <w:pStyle w:val="Heading2"/>
      </w:pPr>
      <w:r>
        <w:t xml:space="preserve">Background</w:t>
      </w:r>
    </w:p>
    <w:p>
      <w:pPr>
        <w:spacing w:after="120"/>
      </w:pPr>
      <w:r>
        <w:t xml:space="preserve">(A)  This deed is supplemental to a lease of Unit 5, Cygnet House dated 11 November 2022 made between (1) Ravenscroft Estates Limited and (2) the Tenant (the “Lease”), the reversion to which is now vested in the Landlord.</w:t>
      </w:r>
    </w:p>
    <w:p>
      <w:pPr>
        <w:spacing w:after="120"/>
      </w:pPr>
      <w:r>
        <w:t xml:space="preserve">(B)  The Tenant has agreed to pay, and the Landlord has agreed to hold, a rent deposit on the terms of this deed. The deposit was originally provided to Ravenscroft Estates Limited and is transferred to the Landlord on completion of the Landlord’s acquisition of the Property.</w:t>
      </w:r>
    </w:p>
    <w:p>
      <w:pPr>
        <w:pStyle w:val="Heading2"/>
      </w:pPr>
      <w:r>
        <w:t xml:space="preserve">Operative provisions</w:t>
      </w:r>
    </w:p>
    <w:p>
      <w:pPr>
        <w:pStyle w:val="ListParagraph"/>
        <w:numPr>
          <w:ilvl w:val="0"/>
          <w:numId w:val="2"/>
        </w:numPr>
        <w:spacing w:after="100"/>
      </w:pPr>
      <w:r>
        <w:t xml:space="preserve">Definitions and interpretation</w:t>
      </w:r>
    </w:p>
    <w:p>
      <w:pPr>
        <w:pStyle w:val="ListParagraph"/>
        <w:numPr>
          <w:ilvl w:val="1"/>
          <w:numId w:val="2"/>
        </w:numPr>
        <w:spacing w:after="100"/>
      </w:pPr>
      <w:r>
        <w:t xml:space="preserve">In this deed: “Deposit” means £98,500 (being a sum equal to six months’ rent plus VAT); “Deposit Account” means the interest-bearing account in the Landlord’s name in which the Deposit is held; “Required Balance” means the Deposit together with any further sums required to restore it following a withdrawal.</w:t>
      </w:r>
    </w:p>
    <w:p>
      <w:pPr>
        <w:pStyle w:val="ListParagraph"/>
        <w:numPr>
          <w:ilvl w:val="0"/>
          <w:numId w:val="2"/>
        </w:numPr>
        <w:spacing w:after="100"/>
      </w:pPr>
      <w:r>
        <w:t xml:space="preserve">Payment and holding of the Deposit</w:t>
      </w:r>
    </w:p>
    <w:p>
      <w:pPr>
        <w:pStyle w:val="ListParagraph"/>
        <w:numPr>
          <w:ilvl w:val="1"/>
          <w:numId w:val="2"/>
        </w:numPr>
        <w:spacing w:after="100"/>
      </w:pPr>
      <w:r>
        <w:t xml:space="preserve">The Tenant has paid the Deposit to the Landlord. The Landlord will hold the Deposit in the Deposit Account as security for the discharge of the Tenant’s obligations under the Lease. The Deposit remains the Tenant’s money subject to the Landlord’s rights under this deed, and the Landlord is not a trustee of it.</w:t>
      </w:r>
    </w:p>
    <w:p>
      <w:pPr>
        <w:pStyle w:val="ListParagraph"/>
        <w:numPr>
          <w:ilvl w:val="1"/>
          <w:numId w:val="2"/>
        </w:numPr>
        <w:spacing w:after="100"/>
      </w:pPr>
      <w:r>
        <w:t xml:space="preserve">Interest on the Deposit accrues for the Tenant’s account and will be paid to the Tenant annually, subject to any deduction required by law.</w:t>
      </w:r>
    </w:p>
    <w:p>
      <w:pPr>
        <w:pStyle w:val="ListParagraph"/>
        <w:numPr>
          <w:ilvl w:val="0"/>
          <w:numId w:val="2"/>
        </w:numPr>
        <w:spacing w:after="100"/>
      </w:pPr>
      <w:r>
        <w:t xml:space="preserve">Withdrawals by the Landlord</w:t>
      </w:r>
    </w:p>
    <w:p>
      <w:pPr>
        <w:pStyle w:val="ListParagraph"/>
        <w:numPr>
          <w:ilvl w:val="1"/>
          <w:numId w:val="2"/>
        </w:numPr>
        <w:spacing w:after="100"/>
      </w:pPr>
      <w:r>
        <w:t xml:space="preserve">The Landlord may withdraw from the Deposit such sums as are required to make good any rent or other sum due under the Lease and unpaid, any breach of the Tenant’s covenants, and any VAT, interest and proper costs in connection with the same.</w:t>
      </w:r>
    </w:p>
    <w:p>
      <w:pPr>
        <w:pStyle w:val="ListParagraph"/>
        <w:numPr>
          <w:ilvl w:val="1"/>
          <w:numId w:val="2"/>
        </w:numPr>
        <w:spacing w:after="100"/>
      </w:pPr>
      <w:r>
        <w:t xml:space="preserve">Within ten working days of written demand following any withdrawal, the Tenant will pay to the Landlord such sum as is required to restore the Deposit to the Required Balance.</w:t>
      </w:r>
    </w:p>
    <w:p>
      <w:pPr>
        <w:pStyle w:val="ListParagraph"/>
        <w:numPr>
          <w:ilvl w:val="0"/>
          <w:numId w:val="2"/>
        </w:numPr>
        <w:spacing w:after="100"/>
      </w:pPr>
      <w:r>
        <w:t xml:space="preserve">Return of the Deposit</w:t>
      </w:r>
    </w:p>
    <w:p>
      <w:pPr>
        <w:pStyle w:val="ListParagraph"/>
        <w:numPr>
          <w:ilvl w:val="1"/>
          <w:numId w:val="2"/>
        </w:numPr>
        <w:spacing w:after="100"/>
      </w:pPr>
      <w:r>
        <w:t xml:space="preserve">The Landlord will repay the balance of the Deposit (after permitted deductions) to the Tenant within twenty working days after the later of: (a) the expiry or earlier determination of the Lease; and (b) the Tenant giving vacant possession and discharging all sums due under the Lease.</w:t>
      </w:r>
    </w:p>
    <w:p>
      <w:pPr>
        <w:pStyle w:val="ListParagraph"/>
        <w:numPr>
          <w:ilvl w:val="1"/>
          <w:numId w:val="2"/>
        </w:numPr>
        <w:spacing w:after="100"/>
      </w:pPr>
      <w:r>
        <w:t xml:space="preserve">Where the Tenant assigns the Lease with the Landlord’s consent and the assignee provides an equivalent deposit or other security acceptable to the Landlord, the Landlord will repay the Deposit to the Tenant within twenty working days of completion of the assignment.</w:t>
      </w:r>
    </w:p>
    <w:p>
      <w:pPr>
        <w:pStyle w:val="ListParagraph"/>
        <w:numPr>
          <w:ilvl w:val="0"/>
          <w:numId w:val="2"/>
        </w:numPr>
        <w:spacing w:after="100"/>
      </w:pPr>
      <w:r>
        <w:t xml:space="preserve">Disposal by the Landlord</w:t>
      </w:r>
    </w:p>
    <w:p>
      <w:pPr>
        <w:pStyle w:val="ListParagraph"/>
        <w:numPr>
          <w:ilvl w:val="1"/>
          <w:numId w:val="2"/>
        </w:numPr>
        <w:spacing w:after="100"/>
      </w:pPr>
      <w:r>
        <w:t xml:space="preserve">On a disposal of the Landlord’s interest, the Landlord may transfer the Deposit to the incoming landlord, who will assume the Landlord’s obligations under this deed, whereupon the outgoing Landlord will be released. The Tenant will, if reasonably required, enter into a new deed on the same terms with the incoming landlord.</w:t>
      </w:r>
    </w:p>
    <w:p>
      <w:pPr>
        <w:pStyle w:val="ListParagraph"/>
        <w:numPr>
          <w:ilvl w:val="0"/>
          <w:numId w:val="2"/>
        </w:numPr>
        <w:spacing w:after="100"/>
      </w:pPr>
      <w:r>
        <w:t xml:space="preserve">Charge and further assurance</w:t>
      </w:r>
    </w:p>
    <w:p>
      <w:pPr>
        <w:pStyle w:val="ListParagraph"/>
        <w:numPr>
          <w:ilvl w:val="1"/>
          <w:numId w:val="2"/>
        </w:numPr>
        <w:spacing w:after="100"/>
      </w:pPr>
      <w:r>
        <w:t xml:space="preserve">The Tenant charges the Deposit and all its rights in the Deposit Account to the Landlord by way of first fixed charge as a continuing security for its obligations under the Lease and this deed, and will execute such further documents as the Landlord reasonably requires to perfect that security.</w:t>
      </w:r>
    </w:p>
    <w:p>
      <w:pPr>
        <w:pStyle w:val="ListParagraph"/>
        <w:numPr>
          <w:ilvl w:val="0"/>
          <w:numId w:val="2"/>
        </w:numPr>
        <w:spacing w:after="100"/>
      </w:pPr>
      <w:r>
        <w:t xml:space="preserve">Miscellaneous</w:t>
      </w:r>
    </w:p>
    <w:p>
      <w:pPr>
        <w:pStyle w:val="ListParagraph"/>
        <w:numPr>
          <w:ilvl w:val="1"/>
          <w:numId w:val="2"/>
        </w:numPr>
        <w:spacing w:after="100"/>
      </w:pPr>
      <w:r>
        <w:t xml:space="preserve">This deed and the rights of the parties under it are governed by the law of England and Wales, and the parties submit to the exclusive jurisdiction of the courts of England and Wales. A person who is not a party to this deed has no rights under the Contracts (Rights of Third Parties) Act 1999 to enforce any of its terms.</w:t>
      </w:r>
    </w:p>
    <w:p>
      <w:r>
        <w:t xml:space="preserve"/>
      </w:r>
    </w:p>
    <w:p>
      <w:pPr>
        <w:spacing w:after="120"/>
      </w:pPr>
      <w:r>
        <w:t xml:space="preserve">IN WITNESS of which this deed has been executed and is delivered on the date first written above.</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c>
          <w:tcPr>
            <w:tcW w:type="dxa" w:w="4400"/>
            <w:tcBorders>
              <w:top w:val="single" w:color="BBBBBB" w:sz="1"/>
              <w:left w:val="single" w:color="BBBBBB" w:sz="1"/>
              <w:bottom w:val="single" w:color="BBBBBB" w:sz="1"/>
              <w:right w:val="single" w:color="BBBBBB" w:sz="1"/>
            </w:tcBorders>
            <w:shd w:fill="EEF1F6" w:val="clear"/>
            <w:tcMar>
              <w:top w:type="dxa" w:w="60"/>
              <w:left w:type="dxa" w:w="120"/>
              <w:bottom w:type="dxa" w:w="60"/>
              <w:right w:type="dxa" w:w="120"/>
            </w:tcMar>
          </w:tcPr>
          <w:p>
            <w:r>
              <w:rPr>
                <w:b/>
                <w:bCs/>
                <w:sz w:val="18"/>
                <w:szCs w:val="18"/>
              </w:rPr>
              <w:t xml:space="preserve">Executed as a deed by MARCHWOOD PROPERTY GROUP LIMITED acting by a director</w:t>
            </w:r>
          </w:p>
        </w:tc>
        <w:tc>
          <w:tcPr>
            <w:tcW w:type="dxa" w:w="46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18"/>
                <w:szCs w:val="18"/>
              </w:rPr>
              <w:t xml:space="preserve">Director: ............................</w:t>
            </w:r>
          </w:p>
          <w:p>
            <w:r>
              <w:rPr>
                <w:sz w:val="18"/>
                <w:szCs w:val="18"/>
              </w:rPr>
              <w:t xml:space="preserve"/>
            </w:r>
          </w:p>
          <w:p>
            <w:r>
              <w:rPr>
                <w:sz w:val="18"/>
                <w:szCs w:val="18"/>
              </w:rPr>
              <w:t xml:space="preserve">In the presence of (witness): ............................</w:t>
            </w:r>
          </w:p>
        </w:tc>
      </w:tr>
      <w:tr>
        <w:tc>
          <w:tcPr>
            <w:tcW w:type="dxa" w:w="4400"/>
            <w:tcBorders>
              <w:top w:val="single" w:color="BBBBBB" w:sz="1"/>
              <w:left w:val="single" w:color="BBBBBB" w:sz="1"/>
              <w:bottom w:val="single" w:color="BBBBBB" w:sz="1"/>
              <w:right w:val="single" w:color="BBBBBB" w:sz="1"/>
            </w:tcBorders>
            <w:shd w:fill="EEF1F6" w:val="clear"/>
            <w:tcMar>
              <w:top w:type="dxa" w:w="60"/>
              <w:left w:type="dxa" w:w="120"/>
              <w:bottom w:type="dxa" w:w="60"/>
              <w:right w:type="dxa" w:w="120"/>
            </w:tcMar>
          </w:tcPr>
          <w:p>
            <w:r>
              <w:rPr>
                <w:b/>
                <w:bCs/>
                <w:sz w:val="18"/>
                <w:szCs w:val="18"/>
              </w:rPr>
              <w:t xml:space="preserve">Executed as a deed by MERIDIAN DESIGN STUDIO LIMITED acting by a director</w:t>
            </w:r>
          </w:p>
        </w:tc>
        <w:tc>
          <w:tcPr>
            <w:tcW w:type="dxa" w:w="46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18"/>
                <w:szCs w:val="18"/>
              </w:rPr>
              <w:t xml:space="preserve">Director: ............................</w:t>
            </w:r>
          </w:p>
          <w:p>
            <w:r>
              <w:rPr>
                <w:sz w:val="18"/>
                <w:szCs w:val="18"/>
              </w:rPr>
              <w:t xml:space="preserve"/>
            </w:r>
          </w:p>
          <w:p>
            <w:r>
              <w:rPr>
                <w:sz w:val="18"/>
                <w:szCs w:val="18"/>
              </w:rPr>
              <w:t xml:space="preserve">In the presence of (witness): ............................</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720"/>
      </w:pPr>
    </w:lvl>
    <w:lvl w:ilvl="1" w15:tentative="1">
      <w:start w:val="1"/>
      <w:numFmt w:val="decimal"/>
      <w:lvlText w:val="%1.%2"/>
      <w:lvlJc w:val="left"/>
      <w:pPr>
        <w:ind w:left="720" w:hanging="720"/>
      </w:pPr>
    </w:lvl>
    <w:lvl w:ilvl="2" w15:tentative="1">
      <w:start w:val="1"/>
      <w:numFmt w:val="lowerLetter"/>
      <w:lvlText w:val="(%3)"/>
      <w:lvlJc w:val="left"/>
      <w:pPr>
        <w:ind w:left="1440" w:hanging="720"/>
      </w:pPr>
    </w:lvl>
    <w:lvl w:ilvl="3" w15:tentative="1">
      <w:start w:val="1"/>
      <w:numFmt w:val="lowerRoman"/>
      <w:lvlText w:val="(%4)"/>
      <w:lvlJc w:val="left"/>
      <w:pPr>
        <w:ind w:left="2160" w:hanging="72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6"/>
      <w:szCs w:val="26"/>
    </w:rPr>
  </w:style>
  <w:style w:type="paragraph" w:styleId="Heading2">
    <w:name w:val="Heading 2"/>
    <w:basedOn w:val="Normal"/>
    <w:next w:val="Normal"/>
    <w:qFormat/>
    <w:pPr>
      <w:spacing w:after="80" w:before="16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2026-06-25T22:15:11.755Z</dcterms:created>
  <dcterms:modified xsi:type="dcterms:W3CDTF">2026-06-25T22:15:11.755Z</dcterms:modified>
</cp:coreProperties>
</file>

<file path=docProps/custom.xml><?xml version="1.0" encoding="utf-8"?>
<Properties xmlns="http://schemas.openxmlformats.org/officeDocument/2006/custom-properties" xmlns:vt="http://schemas.openxmlformats.org/officeDocument/2006/docPropsVTypes"/>
</file>