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B00000"/>
        </w:rPr>
        <w:t xml:space="preserve">DRAFT — SUBJECT TO COMPLETION OF SEARCHES</w:t>
      </w:r>
    </w:p>
    <w:p>
      <w:pPr>
        <w:jc w:val="center"/>
      </w:pPr>
      <w:r>
        <w:rPr>
          <w:b/>
          <w:bCs/>
          <w:sz w:val="26"/>
          <w:szCs w:val="26"/>
        </w:rPr>
        <w:t xml:space="preserve">REPORT ON TITLE</w:t>
      </w:r>
    </w:p>
    <w:p>
      <w:pPr>
        <w:spacing w:after="160"/>
        <w:jc w:val="center"/>
      </w:pPr>
      <w:r>
        <w:rPr>
          <w:sz w:val="20"/>
          <w:szCs w:val="20"/>
        </w:rPr>
        <w:t xml:space="preserve">Project Mosaic — Cygnet House, 8 Tabard Street, London SE1 4JU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To</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Directors, Marchwood Property Group Limited</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From</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Whitfield Carter LLP (Sarah Whitfield / James Osei)</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Our ref</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WC-00129 / SJW</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Date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8 September 2025 (draft)</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Property</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Freehold, Cygnet House, 8 Tabard Street, London SE1 4JU</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Title number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TGL445218 — freehold, registered, title absolute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Price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£21,750,000 (TOGC)</w:t>
            </w:r>
          </w:p>
        </w:tc>
      </w:tr>
    </w:tbl>
    <w:p>
      <w:pPr>
        <w:pStyle w:val="Heading1"/>
      </w:pPr>
      <w:r>
        <w:t xml:space="preserve">1.  Executive summary</w:t>
      </w:r>
    </w:p>
    <w:p>
      <w:pPr>
        <w:spacing w:after="120"/>
      </w:pPr>
      <w:r>
        <w:t xml:space="preserve">We have reviewed the registered title, the eight occupational leases, the replies to CPSE enquiries and the pre-contract search results. Subject to the outstanding matters listed in section 8 (principally the local search result, which is awaited, and the Unit 4 rent review), the title is good and marketable and we are able to recommend that you proceed to exchange. The Property is a well-let, multi-tenanted office building producing £1,453,500 per annum with a WAULT of approximately 6.2 years to expiry.</w:t>
      </w:r>
    </w:p>
    <w:p>
      <w:pPr>
        <w:pStyle w:val="Heading1"/>
      </w:pPr>
      <w:r>
        <w:t xml:space="preserve">2.  The freehold title</w:t>
      </w:r>
    </w:p>
    <w:p>
      <w:pPr>
        <w:spacing w:after="120"/>
      </w:pPr>
      <w:r>
        <w:t xml:space="preserve">Title number TGL445218 is registered with title absolute at HM Land Registry. The registered proprietor is Ravenscroft Estates Limited, registered as proprietor on 2 May 2014. The property register describes the land edged red on the title plan and notes the benefit of a deed of grant of rights of access dated 4 March 2014.</w:t>
      </w:r>
    </w:p>
    <w:p>
      <w:pPr>
        <w:spacing w:after="120"/>
      </w:pPr>
      <w:r>
        <w:t xml:space="preserve">The charges register contains: (a) a legal charge dated 2 May 2014 in favour of Clydesford Bank plc, which will be discharged on completion and in respect of which we will require a form DS1 or electronic discharge; (b) the eight leases referred to in section 4; and (c) a deed of easement dated 12 June 2009 in favour of Thames Water Utilities Limited. None of these matters is unusual for a property of this nature.</w:t>
      </w:r>
    </w:p>
    <w:p>
      <w:pPr>
        <w:pStyle w:val="Heading1"/>
      </w:pPr>
      <w:r>
        <w:t xml:space="preserve">3.  The deduced title and root</w:t>
      </w:r>
    </w:p>
    <w:p>
      <w:pPr>
        <w:spacing w:after="120"/>
      </w:pPr>
      <w:r>
        <w:t xml:space="preserve">Title is deduced by official copies of the register and title plan dated 28 August 2025. As the title is registered with title absolute, no further deduction of title is required. We have inspected official copies of the filed deeds referred to in the register and they contain nothing prejudicial to value.</w:t>
      </w:r>
    </w:p>
    <w:p>
      <w:pPr>
        <w:pStyle w:val="Heading1"/>
      </w:pPr>
      <w:r>
        <w:t xml:space="preserve">4.  The occupational leases</w:t>
      </w:r>
    </w:p>
    <w:p>
      <w:pPr>
        <w:spacing w:after="120"/>
      </w:pPr>
      <w:r>
        <w:t xml:space="preserve">The Property is let under eight occupational leases as summarised in the Tenancy Schedule supplied by the Seller and reviewed by us. The principal points are:</w:t>
      </w:r>
    </w:p>
    <w:p>
      <w:pPr>
        <w:pStyle w:val="ListParagraph"/>
        <w:numPr>
          <w:ilvl w:val="0"/>
          <w:numId w:val="2"/>
        </w:numPr>
        <w:spacing w:after="80"/>
      </w:pPr>
      <w:r>
        <w:t xml:space="preserve">the leases are in substantially the Seller’s standard institutional form, with full repairing and insuring obligations and upward-only open-market rent reviews on a five-yearly cycle;</w:t>
      </w:r>
    </w:p>
    <w:p>
      <w:pPr>
        <w:pStyle w:val="ListParagraph"/>
        <w:numPr>
          <w:ilvl w:val="0"/>
          <w:numId w:val="2"/>
        </w:numPr>
        <w:spacing w:after="80"/>
      </w:pPr>
      <w:r>
        <w:t xml:space="preserve">the aggregate passing rent is £1,453,500 per annum exclusive; no tenant is more than one quarter in arrears;</w:t>
      </w:r>
    </w:p>
    <w:p>
      <w:pPr>
        <w:pStyle w:val="ListParagraph"/>
        <w:numPr>
          <w:ilvl w:val="0"/>
          <w:numId w:val="2"/>
        </w:numPr>
        <w:spacing w:after="80"/>
      </w:pPr>
      <w:r>
        <w:t xml:space="preserve">two tenants (Units 2 and 5) have provided rent deposits totalling £221,500, governed by rent deposit deeds which will be assigned to you on completion;</w:t>
      </w:r>
    </w:p>
    <w:p>
      <w:pPr>
        <w:pStyle w:val="ListParagraph"/>
        <w:numPr>
          <w:ilvl w:val="0"/>
          <w:numId w:val="2"/>
        </w:numPr>
        <w:spacing w:after="80"/>
      </w:pPr>
      <w:r>
        <w:t xml:space="preserve">the Unit 1 lease (Larkfield Media Limited) contains a tenant’s break option exercisable on 24 June 2027 on six months’ notice, which is the principal driver of the WAULT to first break of 4.9 years;</w:t>
      </w:r>
    </w:p>
    <w:p>
      <w:pPr>
        <w:pStyle w:val="ListParagraph"/>
        <w:numPr>
          <w:ilvl w:val="0"/>
          <w:numId w:val="2"/>
        </w:numPr>
        <w:spacing w:after="80"/>
      </w:pPr>
      <w:r>
        <w:t xml:space="preserve">the Unit 4 rent review (review date 25 March 2025) is outstanding and under without-prejudice discussion. We recommend the contract provides for the benefit of any reviewed rent to pass to you and for the conduct of the review to be regulated post-completion (see section 6).</w:t>
      </w:r>
    </w:p>
    <w:p>
      <w:pPr>
        <w:pStyle w:val="Heading1"/>
      </w:pPr>
      <w:r>
        <w:t xml:space="preserve">5.  Searches</w:t>
      </w:r>
    </w:p>
    <w:p>
      <w:pPr>
        <w:spacing w:after="120"/>
      </w:pPr>
      <w:r>
        <w:t xml:space="preserve">The drainage and water search confirms the building is connected to mains foul and surface water drainage and to a metered water supply, with a public sewer crossing the rear yard within the line of the Thames Water easement. The environmental search returns a “passed” risk rating. The chancel check is negative. The local authority search (LLC1 and CON29) has been submitted and the result is awaited; we will report further on receipt and recommend you do not exchange until it is to hand.</w:t>
      </w:r>
    </w:p>
    <w:p>
      <w:pPr>
        <w:pStyle w:val="Heading1"/>
      </w:pPr>
      <w:r>
        <w:t xml:space="preserve">6.  Special conditions we have negotiated</w:t>
      </w:r>
    </w:p>
    <w:p>
      <w:pPr>
        <w:spacing w:after="120"/>
      </w:pPr>
      <w:r>
        <w:t xml:space="preserve">We have agreed the following protections in the special conditions to the contract: (a) a £18,000 service charge retention pending the 2025 reconciliation; (b) conduct of, and the benefit of, the Unit 4 rent review to pass to you, with the Seller to provide reasonable assistance; (c) seller’s title guarantee given as full title guarantee; (d) the rent deposits to be transferred on completion with executed deeds of assignment; and (e) completion arrears to be accounted for under condition 8 of the SCPC.</w:t>
      </w:r>
    </w:p>
    <w:p>
      <w:pPr>
        <w:pStyle w:val="Heading1"/>
      </w:pPr>
      <w:r>
        <w:t xml:space="preserve">7.  VAT, SDLT and TOGC</w:t>
      </w:r>
    </w:p>
    <w:p>
      <w:pPr>
        <w:spacing w:after="120"/>
      </w:pPr>
      <w:r>
        <w:t xml:space="preserve">The Seller has opted to tax. The sale is structured as a TOGC, so that no VAT is chargeable on the price, provided you opt to tax and notify HMRC before completion and confirm you are or will be VAT-registered. You should make the option and notify HMRC without delay. SDLT will be payable at the non-residential rates on £21,750,000, giving SDLT of £1,077,000, which must be paid and the return filed within 14 days of completion.</w:t>
      </w:r>
    </w:p>
    <w:p>
      <w:pPr>
        <w:pStyle w:val="Heading1"/>
      </w:pPr>
      <w:r>
        <w:t xml:space="preserve">8.  Outstanding matters and recommendations</w:t>
      </w:r>
    </w:p>
    <w:p>
      <w:pPr>
        <w:spacing w:after="120"/>
      </w:pPr>
      <w:r>
        <w:t xml:space="preserve">Before exchange we require: (i) the local authority search result; (ii) confirmation of your option to tax and HMRC notification; (iii) the Seller’s executed rent deposit deed assignments; and (iv) confirmation of the source of funds for AML purposes. Subject to those matters, we recommend you proceed. We await your instructions to exchange.</w:t>
      </w:r>
    </w:p>
    <w:p>
      <w:r>
        <w:t xml:space="preserve"/>
      </w:r>
    </w:p>
    <w:p>
      <w:pPr>
        <w:spacing w:after="120"/>
      </w:pPr>
      <w:r>
        <w:rPr>
          <w:i/>
          <w:iCs/>
          <w:sz w:val="18"/>
          <w:szCs w:val="18"/>
        </w:rPr>
        <w:t xml:space="preserve">Whitfield Carter LLP — 8 September 2025 (DRAFT)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jc w:val="center"/>
    </w:pPr>
    <w:r>
      <w:rPr>
        <w:color w:val="777777"/>
        <w:sz w:val="14"/>
        <w:szCs w:val="14"/>
      </w:rPr>
      <w:t xml:space="preserve">Whitfield Carter LLP is a limited liability partnership registered in England and Wales (OC418365).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80"/>
      <w:jc w:val="right"/>
    </w:pPr>
    <w:r>
      <w:rPr>
        <w:color w:val="555555"/>
        <w:sz w:val="16"/>
        <w:szCs w:val="16"/>
      </w:rPr>
      <w:t xml:space="preserve">T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2026-06-25T22:15:11.746Z</dcterms:created>
  <dcterms:modified xsi:type="dcterms:W3CDTF">2026-06-25T22:15:11.746Z</dcterms:modified>
</cp:coreProperties>
</file>

<file path=docProps/custom.xml><?xml version="1.0" encoding="utf-8"?>
<Properties xmlns="http://schemas.openxmlformats.org/officeDocument/2006/custom-properties" xmlns:vt="http://schemas.openxmlformats.org/officeDocument/2006/docPropsVTypes"/>
</file>