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CPSE.1 (version 3.8)</w:t>
      </w:r>
    </w:p>
    <w:p>
      <w:pPr>
        <w:spacing w:after="40"/>
        <w:jc w:val="center"/>
      </w:pPr>
      <w:r>
        <w:rPr>
          <w:i/>
          <w:iCs/>
        </w:rPr>
        <w:t xml:space="preserve">General pre-contract enquiries for all commercial property transactions</w:t>
      </w:r>
    </w:p>
    <w:p>
      <w:pPr>
        <w:spacing w:after="200"/>
        <w:jc w:val="center"/>
      </w:pPr>
      <w:r>
        <w:t xml:space="preserve">Replies on behalf of Hartwell Cawley Estates Limited — Project Westcliff</w:t>
      </w:r>
    </w:p>
    <w:p>
      <w:pPr>
        <w:spacing w:after="120"/>
      </w:pPr>
      <w:r>
        <w:rPr>
          <w:b/>
          <w:bCs/>
        </w:rPr>
        <w:t xml:space="preserve">Property: </w:t>
      </w:r>
      <w:r>
        <w:t xml:space="preserve">Westcliff House, 14–18 Forbury Road, Reading RG1 3JH</w:t>
      </w:r>
    </w:p>
    <w:p>
      <w:pPr>
        <w:spacing w:after="120"/>
      </w:pPr>
      <w:r>
        <w:rPr>
          <w:b/>
          <w:bCs/>
        </w:rPr>
        <w:t xml:space="preserve">Seller: </w:t>
      </w:r>
      <w:r>
        <w:t xml:space="preserve">Hartwell Cawley Estates Limited</w:t>
      </w:r>
    </w:p>
    <w:p>
      <w:pPr>
        <w:spacing w:after="120"/>
      </w:pPr>
      <w:r>
        <w:rPr>
          <w:b/>
          <w:bCs/>
        </w:rPr>
        <w:t xml:space="preserve">Seller’s solicitors: </w:t>
      </w:r>
      <w:r>
        <w:t xml:space="preserve">Marlowe Greaves LLP (ref MG/ZA/HCE-Westcliff)</w:t>
      </w:r>
    </w:p>
    <w:p>
      <w:pPr>
        <w:spacing w:after="120"/>
      </w:pPr>
      <w:r>
        <w:rPr>
          <w:b/>
          <w:bCs/>
        </w:rPr>
        <w:t xml:space="preserve">Date of replies: </w:t>
      </w:r>
      <w:r>
        <w:t xml:space="preserve">21 February 2025</w:t>
      </w:r>
    </w:p>
    <w:p>
      <w:pPr>
        <w:pBdr>
          <w:bottom w:val="single" w:color="BFBFBF" w:sz="4" w:space="1"/>
        </w:pBdr>
      </w:pPr>
    </w:p>
    <w:p>
      <w:pPr>
        <w:pStyle w:val="Heading1"/>
      </w:pPr>
      <w:r>
        <w:t xml:space="preserve">1. Boundaries and extent</w:t>
      </w:r>
    </w:p>
    <w:p>
      <w:pPr>
        <w:spacing w:after="40" w:before="120"/>
      </w:pPr>
      <w:r>
        <w:rPr>
          <w:b/>
          <w:bCs/>
        </w:rPr>
        <w:t xml:space="preserve">1.1  Please confirm the boundary features and who is responsible for their maintenance.</w:t>
      </w:r>
    </w:p>
    <w:p>
      <w:pPr>
        <w:spacing w:after="120"/>
      </w:pPr>
      <w:r>
        <w:rPr>
          <w:b/>
          <w:bCs/>
        </w:rPr>
        <w:t xml:space="preserve">Reply:  </w:t>
      </w:r>
      <w:r>
        <w:t xml:space="preserve">The Seller is not aware of the boundary features being other than as shown on the title plan. The Seller is not aware of any boundary maintenance obligations beyond those (if any) shown in the registered title. The Seller has owned the Property since 1998 and is not aware of any boundary dispute.</w:t>
      </w:r>
    </w:p>
    <w:p>
      <w:pPr>
        <w:spacing w:after="40" w:before="120"/>
      </w:pPr>
      <w:r>
        <w:rPr>
          <w:b/>
          <w:bCs/>
        </w:rPr>
        <w:t xml:space="preserve">1.4  Is the Seller aware of any disputes regarding boundaries, easements or overlapping titles?</w:t>
      </w:r>
    </w:p>
    <w:p>
      <w:pPr>
        <w:spacing w:after="120"/>
      </w:pPr>
      <w:r>
        <w:rPr>
          <w:b/>
          <w:bCs/>
        </w:rPr>
        <w:t xml:space="preserve">Reply:  </w:t>
      </w:r>
      <w:r>
        <w:t xml:space="preserve">No.</w:t>
      </w:r>
    </w:p>
    <w:p>
      <w:pPr>
        <w:pStyle w:val="Heading1"/>
      </w:pPr>
      <w:r>
        <w:t xml:space="preserve">2. Rights benefiting the Property</w:t>
      </w:r>
    </w:p>
    <w:p>
      <w:pPr>
        <w:spacing w:after="40" w:before="120"/>
      </w:pPr>
      <w:r>
        <w:rPr>
          <w:b/>
          <w:bCs/>
        </w:rPr>
        <w:t xml:space="preserve">2.1  Please give details of all rights enjoyed by the Property.</w:t>
      </w:r>
    </w:p>
    <w:p>
      <w:pPr>
        <w:spacing w:after="120"/>
      </w:pPr>
      <w:r>
        <w:rPr>
          <w:b/>
          <w:bCs/>
        </w:rPr>
        <w:t xml:space="preserve">Reply:  </w:t>
      </w:r>
      <w:r>
        <w:t xml:space="preserve">The Property has the benefit of the rights of way and drainage granted by a Transfer dated 4 May 1998, as noted in the Property Register of title number BK418772. The Seller is not aware of any other rights.</w:t>
      </w:r>
    </w:p>
    <w:p>
      <w:pPr>
        <w:pStyle w:val="Heading1"/>
      </w:pPr>
      <w:r>
        <w:t xml:space="preserve">3. Adverse rights affecting the Property</w:t>
      </w:r>
    </w:p>
    <w:p>
      <w:pPr>
        <w:spacing w:after="40" w:before="120"/>
      </w:pPr>
      <w:r>
        <w:rPr>
          <w:b/>
          <w:bCs/>
        </w:rPr>
        <w:t xml:space="preserve">3.1  Please give details of any rights affecting the Property (covenants, easements, wayleaves).</w:t>
      </w:r>
    </w:p>
    <w:p>
      <w:pPr>
        <w:spacing w:after="120"/>
      </w:pPr>
      <w:r>
        <w:rPr>
          <w:b/>
          <w:bCs/>
        </w:rPr>
        <w:t xml:space="preserve">Reply:  </w:t>
      </w:r>
      <w:r>
        <w:t xml:space="preserve">The Property is subject to the restrictive covenants in a Conveyance dated 18 March 1965 and to the matters noted in the Charges Register. The Seller is not aware of the covenants having been breached during its ownership.</w:t>
      </w:r>
    </w:p>
    <w:p>
      <w:pPr>
        <w:pStyle w:val="Heading1"/>
      </w:pPr>
      <w:r>
        <w:t xml:space="preserve">4. Notices</w:t>
      </w:r>
    </w:p>
    <w:p>
      <w:pPr>
        <w:spacing w:after="40" w:before="120"/>
      </w:pPr>
      <w:r>
        <w:rPr>
          <w:b/>
          <w:bCs/>
        </w:rPr>
        <w:t xml:space="preserve">4.1  Please supply copies of any notices affecting the Property.</w:t>
      </w:r>
    </w:p>
    <w:p>
      <w:pPr>
        <w:spacing w:after="120"/>
      </w:pPr>
      <w:r>
        <w:rPr>
          <w:b/>
          <w:bCs/>
        </w:rPr>
        <w:t xml:space="preserve">Reply:  </w:t>
      </w:r>
      <w:r>
        <w:t xml:space="preserve">The Seller has not given or received any notices affecting the Property other than routine correspondence with the occupational tenants in the ordinary course of management.</w:t>
      </w:r>
    </w:p>
    <w:p>
      <w:pPr>
        <w:pStyle w:val="Heading1"/>
      </w:pPr>
      <w:r>
        <w:t xml:space="preserve">9. Insurance</w:t>
      </w:r>
    </w:p>
    <w:p>
      <w:pPr>
        <w:spacing w:after="40" w:before="120"/>
      </w:pPr>
      <w:r>
        <w:rPr>
          <w:b/>
          <w:bCs/>
        </w:rPr>
        <w:t xml:space="preserve">9.1  Please confirm the Property is insured and give details.</w:t>
      </w:r>
    </w:p>
    <w:p>
      <w:pPr>
        <w:spacing w:after="120"/>
      </w:pPr>
      <w:r>
        <w:rPr>
          <w:b/>
          <w:bCs/>
        </w:rPr>
        <w:t xml:space="preserve">Reply:  </w:t>
      </w:r>
      <w:r>
        <w:t xml:space="preserve">The Property is insured under the Seller’s block buildings policy with Aviva (policy number HCE-COM-44821) for a declared reinstatement value of £14.2 million. A copy of the policy schedule is enclosed. Insurance rent is recharged to the tenants under the occupational leases.</w:t>
      </w:r>
    </w:p>
    <w:p>
      <w:pPr>
        <w:pStyle w:val="Heading1"/>
      </w:pPr>
      <w:r>
        <w:t xml:space="preserve">13. Occupiers and employees</w:t>
      </w:r>
    </w:p>
    <w:p>
      <w:pPr>
        <w:spacing w:after="40" w:before="120"/>
      </w:pPr>
      <w:r>
        <w:rPr>
          <w:b/>
          <w:bCs/>
        </w:rPr>
        <w:t xml:space="preserve">13.1  Please give details of everyone in actual occupation of the Property.</w:t>
      </w:r>
    </w:p>
    <w:p>
      <w:pPr>
        <w:spacing w:after="120"/>
      </w:pPr>
      <w:r>
        <w:rPr>
          <w:b/>
          <w:bCs/>
        </w:rPr>
        <w:t xml:space="preserve">Reply:  </w:t>
      </w:r>
      <w:r>
        <w:t xml:space="preserve">The Property is occupied by the five tenants listed in the agreed tenancy schedule under the occupational leases. The third floor is vacant. There are no other occupiers and there are no employees engaged in connection with the Property whose employment would transfer under TUPE.</w:t>
      </w:r>
    </w:p>
    <w:p>
      <w:pPr>
        <w:pStyle w:val="Heading1"/>
      </w:pPr>
      <w:r>
        <w:t xml:space="preserve">15. Outgoings and rents</w:t>
      </w:r>
    </w:p>
    <w:p>
      <w:pPr>
        <w:spacing w:after="40" w:before="120"/>
      </w:pPr>
      <w:r>
        <w:rPr>
          <w:b/>
          <w:bCs/>
        </w:rPr>
        <w:t xml:space="preserve">15.2  Please give details of the rents and rent reviews.</w:t>
      </w:r>
    </w:p>
    <w:p>
      <w:pPr>
        <w:spacing w:after="120"/>
      </w:pPr>
      <w:r>
        <w:rPr>
          <w:b/>
          <w:bCs/>
        </w:rPr>
        <w:t xml:space="preserve">Reply:  </w:t>
      </w:r>
      <w:r>
        <w:t xml:space="preserve">The current passing rent is £612,000 per annum exclusive. The June 2024 rent review under the Caldwell Brooke lease has not been implemented and the passing rent for that demise remains £268,800. A stepped-rent memorandum applies to the Greenline Coffee lease; a copy is being located and will be supplied (see enquiry 14).</w:t>
      </w:r>
    </w:p>
    <w:p>
      <w:pPr>
        <w:pStyle w:val="Heading1"/>
      </w:pPr>
      <w:r>
        <w:t xml:space="preserve">16. Service charge</w:t>
      </w:r>
    </w:p>
    <w:p>
      <w:pPr>
        <w:spacing w:after="40" w:before="120"/>
      </w:pPr>
      <w:r>
        <w:rPr>
          <w:b/>
          <w:bCs/>
        </w:rPr>
        <w:t xml:space="preserve">16.1  Please give details of the service charge and any disputes.</w:t>
      </w:r>
    </w:p>
    <w:p>
      <w:pPr>
        <w:spacing w:after="120"/>
      </w:pPr>
      <w:r>
        <w:rPr>
          <w:b/>
          <w:bCs/>
        </w:rPr>
        <w:t xml:space="preserve">Reply:  </w:t>
      </w:r>
      <w:r>
        <w:t xml:space="preserve">Service charge is levied on the let areas in accordance with the leases. The service-charge accounts for the years ended 31 December 2022 and 2023 are enclosed. There are no current service-charge disputes.</w:t>
      </w:r>
    </w:p>
    <w:p>
      <w:pPr>
        <w:pStyle w:val="Heading1"/>
      </w:pPr>
      <w:r>
        <w:t xml:space="preserve">32. Stamp duty land tax / VAT</w:t>
      </w:r>
    </w:p>
    <w:p>
      <w:pPr>
        <w:spacing w:after="40" w:before="120"/>
      </w:pPr>
      <w:r>
        <w:rPr>
          <w:b/>
          <w:bCs/>
        </w:rPr>
        <w:t xml:space="preserve">32.2  Has the Seller elected to waive exemption (opted to tax) for VAT?</w:t>
      </w:r>
    </w:p>
    <w:p>
      <w:pPr>
        <w:spacing w:after="120"/>
      </w:pPr>
      <w:r>
        <w:rPr>
          <w:b/>
          <w:bCs/>
        </w:rPr>
        <w:t xml:space="preserve">Reply:  </w:t>
      </w:r>
      <w:r>
        <w:t xml:space="preserve">Yes. The Seller has opted to tax the Property; a copy of the option and HMRC acknowledgement is enclosed. The Seller is willing to treat the sale as a transfer of a going concern subject to the Buyer satisfying the TOGC conditions.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Replies given without liability on behalf of the Seller — Project Westcliff.</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30"/>
        <w:szCs w:val="30"/>
      </w:rPr>
      <w:t xml:space="preserve">Whitfield Carter LLP</w:t>
    </w:r>
  </w:p>
  <w:p>
    <w:pPr>
      <w:jc w:val="right"/>
    </w:pPr>
    <w:r>
      <w:rPr>
        <w:color w:val="595959"/>
        <w:sz w:val="16"/>
        <w:szCs w:val="16"/>
      </w:rPr>
      <w:t xml:space="preserve">Solicitors  ·  22 Bishopsgate, London EC2N 4BQ</w:t>
    </w:r>
  </w:p>
  <w:p>
    <w:pPr>
      <w:jc w:val="right"/>
    </w:pPr>
    <w:r>
      <w:rPr>
        <w:color w:val="595959"/>
        <w:sz w:val="16"/>
        <w:szCs w:val="16"/>
      </w:rPr>
      <w:t xml:space="preserve">T +44 (0)20 7946 0820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2026-06-27T16:16:59.660Z</dcterms:created>
  <dcterms:modified xsi:type="dcterms:W3CDTF">2026-06-27T16:16:59.660Z</dcterms:modified>
</cp:coreProperties>
</file>

<file path=docProps/custom.xml><?xml version="1.0" encoding="utf-8"?>
<Properties xmlns="http://schemas.openxmlformats.org/officeDocument/2006/custom-properties" xmlns:vt="http://schemas.openxmlformats.org/officeDocument/2006/docPropsVTypes"/>
</file>