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PROJECT WESTCLIFF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COMPLETION CHECKLIST — BUYER</w:t>
      </w:r>
    </w:p>
    <w:p>
      <w:pPr>
        <w:spacing w:after="200"/>
        <w:jc w:val="center"/>
      </w:pPr>
      <w:r>
        <w:rPr>
          <w:i/>
          <w:iCs/>
        </w:rPr>
        <w:t xml:space="preserve">Acquisition of Westcliff House, 14–18 Forbury Road, Reading RG1 3JH</w:t>
      </w:r>
    </w:p>
    <w:p>
      <w:pPr>
        <w:spacing w:after="120"/>
      </w:pPr>
      <w:r>
        <w:rPr>
          <w:b/>
          <w:bCs/>
        </w:rPr>
        <w:t xml:space="preserve">Matter: </w:t>
      </w:r>
      <w:r>
        <w:t xml:space="preserve">WC-00155 (Marchwood Property Group Limited)</w:t>
      </w:r>
    </w:p>
    <w:p>
      <w:pPr>
        <w:spacing w:after="120"/>
      </w:pPr>
      <w:r>
        <w:rPr>
          <w:b/>
          <w:bCs/>
        </w:rPr>
        <w:t xml:space="preserve">Target completion: </w:t>
      </w:r>
      <w:r>
        <w:t xml:space="preserve">11 April 2025</w:t>
      </w:r>
    </w:p>
    <w:p>
      <w:pPr>
        <w:pBdr>
          <w:bottom w:val="single" w:color="BFBFBF" w:sz="4" w:space="1"/>
        </w:pBdr>
      </w:pPr>
    </w:p>
    <w:p>
      <w:pPr>
        <w:pStyle w:val="Heading1"/>
      </w:pPr>
      <w:r>
        <w:t xml:space="preserve">A. Pre-exchange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Engagement letter signed and returned — DONE (17 Jan 2025).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Heads of terms agreed (subject to contract) — DONE (22 Jan 2025).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Searches ordered and returned (local, drainage, environmental) —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CPSE.1 and supplemental replies received and reviewed — DONE (21 Feb 2025).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Outstanding enquiry 14 (Greenline rent-review memorandum) — TO RESOLVE before exchange.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on title approved by client — DRAFT issued 28 Feb; final to follow.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 approved and engrossed; transfer (TR1) agreed.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Buyer board resolution to acquire — to be passed.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of funds verified; deposit funds in place (£845,000).</w:t>
      </w:r>
    </w:p>
    <w:p>
      <w:pPr>
        <w:pStyle w:val="Heading1"/>
      </w:pPr>
      <w:r>
        <w:t xml:space="preserve">B. Exchange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Exchange contracts (telephone, Law Society Formula 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 10% deposit to Seller’s solicitors as stakeholder.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Diarise completion date and SDLT/registration deadlines.</w:t>
      </w:r>
    </w:p>
    <w:p>
      <w:pPr>
        <w:pStyle w:val="Heading1"/>
      </w:pPr>
      <w:r>
        <w:t xml:space="preserve">C. Pre-completion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Bankruptcy and OS1 priority search at HM Land Registry — obtain priority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search against the Seller; confirm no winding-up or charge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Obtain Clydesford Bank discharge undertaking for the registered charge.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 completion statement and apportionments with Seller’s solicitors.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 notices of assignment / authority-to-pay-rent letters prepared.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buildings insurance in place from completion.</w:t>
      </w:r>
    </w:p>
    <w:p>
      <w:pPr>
        <w:pStyle w:val="Heading1"/>
      </w:pPr>
      <w:r>
        <w:t xml:space="preserve">D.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 completion monies (balance of price as adjusted).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executed TR1, title deeds, leases and management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rent authority letters and service-charge records.</w:t>
      </w:r>
    </w:p>
    <w:p>
      <w:pPr>
        <w:pStyle w:val="Heading1"/>
      </w:pPr>
      <w:r>
        <w:t xml:space="preserve">E. Post-completion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SDLT return and pay SDLT (£406,500) within 14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to register transfer at HM Land Registry within the priority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 notices on tenants of the change of landlord and rent-payment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Diarise Caldwell Brooke 2024 rent review and Forbury year-5 break.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to client on completion and close the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</w:pPr>
    <w:r>
      <w:rPr>
        <w:color w:val="808080"/>
        <w:sz w:val="14"/>
        <w:szCs w:val="14"/>
      </w:rPr>
      <w:t xml:space="preserve">Confidential — Project Westcliff completion checklist.</w:t>
    </w:r>
  </w:p>
  <w:p>
    <w:pPr>
      <w:jc w:val="right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3864"/>
        <w:sz w:val="30"/>
        <w:szCs w:val="30"/>
      </w:rPr>
      <w:t xml:space="preserve">Whitfield Carter LLP</w:t>
    </w:r>
  </w:p>
  <w:p>
    <w:pPr>
      <w:jc w:val="right"/>
    </w:pPr>
    <w:r>
      <w:rPr>
        <w:color w:val="595959"/>
        <w:sz w:val="16"/>
        <w:szCs w:val="16"/>
      </w:rPr>
      <w:t xml:space="preserve">Solicitors  ·  22 Bishopsgate, London EC2N 4BQ</w:t>
    </w:r>
  </w:p>
  <w:p>
    <w:pPr>
      <w:jc w:val="right"/>
    </w:pPr>
    <w:r>
      <w:rPr>
        <w:color w:val="595959"/>
        <w:sz w:val="16"/>
        <w:szCs w:val="16"/>
      </w:rPr>
      <w:t xml:space="preserve">T +44 (0)20 7946 0820   ·   www.whitfieldcarter.com</w:t>
    </w:r>
  </w:p>
  <w:p>
    <w:pPr>
      <w:pBdr>
        <w:bottom w:val="single" w:color="1F3864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1100" w:hanging="6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2026-06-27T16:16:59.702Z</dcterms:created>
  <dcterms:modified xsi:type="dcterms:W3CDTF">2026-06-27T16:16:59.702Z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