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PROJECT WESTCLIFF</w:t>
      </w:r>
    </w:p>
    <w:p>
      <w:pPr>
        <w:spacing w:after="40"/>
        <w:jc w:val="center"/>
      </w:pPr>
      <w:r>
        <w:rPr>
          <w:b/>
          <w:bCs/>
          <w:sz w:val="22"/>
          <w:szCs w:val="22"/>
        </w:rPr>
        <w:t xml:space="preserve">HEADS OF TERMS — SUBJECT TO CONTRACT</w:t>
      </w:r>
    </w:p>
    <w:p>
      <w:pPr>
        <w:spacing w:after="240"/>
        <w:jc w:val="center"/>
      </w:pPr>
      <w:r>
        <w:rPr>
          <w:i/>
          <w:iCs/>
        </w:rPr>
        <w:t xml:space="preserve">Sale of the freehold investment known as Westcliff House, 14–18 Forbury Road, Reading RG1 3JH</w:t>
      </w:r>
    </w:p>
    <w:p>
      <w:pPr>
        <w:spacing w:after="120"/>
      </w:pPr>
      <w:r>
        <w:rPr>
          <w:i/>
          <w:iCs/>
        </w:rPr>
        <w:t xml:space="preserve">These heads of terms are not intended to be legally binding (save for the provisions as to costs and exclusivity) and are subject to contract.</w:t>
      </w:r>
    </w:p>
    <w:p>
      <w:pPr>
        <w:pStyle w:val="Heading2"/>
      </w:pPr>
      <w:r>
        <w:t xml:space="preserve">1. The Property</w:t>
      </w:r>
    </w:p>
    <w:p>
      <w:pPr>
        <w:spacing w:after="120"/>
      </w:pPr>
      <w:r>
        <w:t xml:space="preserve">The freehold property known as Westcliff House, 14–18 Forbury Road, Reading RG1 3JH, registered at HM Land Registry under title number BK418772, comprising a five-storey office building with two ground-floor retail units and 26 car-parking spaces, having a net internal area of approximately 38,400 sq ft.</w:t>
      </w:r>
    </w:p>
    <w:p>
      <w:pPr>
        <w:pStyle w:val="Heading2"/>
      </w:pPr>
      <w:r>
        <w:t xml:space="preserve">2. Seller</w:t>
      </w:r>
    </w:p>
    <w:p>
      <w:pPr>
        <w:spacing w:after="120"/>
      </w:pPr>
      <w:r>
        <w:t xml:space="preserve">Hartwell Cawley Estates Limited (company number 06623419), of Cawley House, 2 Greyfriars Road, Reading RG1 1NU.</w:t>
      </w:r>
    </w:p>
    <w:p>
      <w:pPr>
        <w:pStyle w:val="Heading2"/>
      </w:pPr>
      <w:r>
        <w:t xml:space="preserve">3. Buyer</w:t>
      </w:r>
    </w:p>
    <w:p>
      <w:pPr>
        <w:spacing w:after="120"/>
      </w:pPr>
      <w:r>
        <w:t xml:space="preserve">Marchwood Property Group Limited (company number 04918823), or a wholly-owned subsidiary nominated by it prior to exchange.</w:t>
      </w:r>
    </w:p>
    <w:p>
      <w:pPr>
        <w:pStyle w:val="Heading2"/>
      </w:pPr>
      <w:r>
        <w:t xml:space="preserve">4. Tenure and tenancies</w:t>
      </w:r>
    </w:p>
    <w:p>
      <w:pPr>
        <w:spacing w:after="120"/>
      </w:pPr>
      <w:r>
        <w:t xml:space="preserve">Freehold, sold subject to and with the benefit of the existing occupational leases set out in the tenancy schedule, producing a current passing rent of £612,000 per annum exclusive. The Property is sold as an investment with vacant possession of the third floor only (currently void).</w:t>
      </w:r>
    </w:p>
    <w:p>
      <w:pPr>
        <w:pStyle w:val="Heading2"/>
      </w:pPr>
      <w:r>
        <w:t xml:space="preserve">5. Price</w:t>
      </w:r>
    </w:p>
    <w:p>
      <w:pPr>
        <w:spacing w:after="120"/>
      </w:pPr>
      <w:r>
        <w:t xml:space="preserve">The purchase price is £8,450,000 (eight million four hundred and fifty thousand pounds), exclusive of VAT, reflecting a net initial yield of approximately 6.85% after standard purchaser’s costs.</w:t>
      </w:r>
    </w:p>
    <w:p>
      <w:pPr>
        <w:pStyle w:val="Heading2"/>
      </w:pPr>
      <w:r>
        <w:t xml:space="preserve">6. VAT</w:t>
      </w:r>
    </w:p>
    <w:p>
      <w:pPr>
        <w:spacing w:after="120"/>
      </w:pPr>
      <w:r>
        <w:t xml:space="preserve">The Seller has opted to tax the Property. The parties intend that the sale will be treated as a transfer of a going concern (TOGC) and the Buyer will opt to tax and notify HMRC before completion. If the sale does not qualify as a TOGC, VAT will be payable in addition to the price.</w:t>
      </w:r>
    </w:p>
    <w:p>
      <w:pPr>
        <w:pStyle w:val="Heading2"/>
      </w:pPr>
      <w:r>
        <w:t xml:space="preserve">7. Deposit</w:t>
      </w:r>
    </w:p>
    <w:p>
      <w:pPr>
        <w:spacing w:after="120"/>
      </w:pPr>
      <w:r>
        <w:t xml:space="preserve">A deposit of 10% of the price (£845,000) will be payable on exchange of contracts, to be held by the Seller’s solicitors as stakeholder.</w:t>
      </w:r>
    </w:p>
    <w:p>
      <w:pPr>
        <w:pStyle w:val="Heading2"/>
      </w:pPr>
      <w:r>
        <w:t xml:space="preserve">8. Conditions and timing</w:t>
      </w:r>
    </w:p>
    <w:p>
      <w:pPr>
        <w:spacing w:after="120"/>
      </w:pPr>
      <w:r>
        <w:t xml:space="preserve">Exchange of contracts is targeted for the week commencing 10 March 2025, with completion 20 working days later or such other date as the parties agree. The sale is conditional on satisfactory replies to enquiries, searches and title.</w:t>
      </w:r>
    </w:p>
    <w:p>
      <w:pPr>
        <w:pStyle w:val="Heading2"/>
      </w:pPr>
      <w:r>
        <w:t xml:space="preserve">9. Exclusivity</w:t>
      </w:r>
    </w:p>
    <w:p>
      <w:pPr>
        <w:spacing w:after="120"/>
      </w:pPr>
      <w:r>
        <w:t xml:space="preserve">The Seller agrees not to negotiate with any other party in respect of the Property for a period of six weeks from the date of these heads of terms (the “Exclusivity Period”).</w:t>
      </w:r>
    </w:p>
    <w:p>
      <w:pPr>
        <w:pStyle w:val="Heading2"/>
      </w:pPr>
      <w:r>
        <w:t xml:space="preserve">10. Costs</w:t>
      </w:r>
    </w:p>
    <w:p>
      <w:pPr>
        <w:spacing w:after="120"/>
      </w:pPr>
      <w:r>
        <w:t xml:space="preserve">Each party will bear its own professional costs. The Buyer will be responsible for SDLT, HM Land Registry fees and the cost of searches.</w:t>
      </w:r>
    </w:p>
    <w:p>
      <w:pPr>
        <w:pStyle w:val="Heading2"/>
      </w:pPr>
      <w:r>
        <w:t xml:space="preserve">11. Professional advisers</w:t>
      </w:r>
    </w:p>
    <w:p>
      <w:pPr>
        <w:spacing w:after="120"/>
      </w:pPr>
      <w:r>
        <w:t xml:space="preserve">Buyer’s solicitors: Whitfield Carter LLP (Elena Marchetti). Seller’s solicitors: Marlowe Greaves LLP (Martin Greaves). Buyer’s surveyors: Calderbank Vine. Seller’s agents: Forbury &amp; Wills.</w:t>
      </w:r>
    </w:p>
    <w:p>
      <w:pPr>
        <w:spacing w:after="120"/>
      </w:pPr>
      <w:r>
        <w:t xml:space="preserve"> </w:t>
      </w:r>
    </w:p>
    <w:p>
      <w:pPr>
        <w:spacing w:after="120"/>
      </w:pPr>
      <w:r>
        <w:rPr>
          <w:i/>
          <w:iCs/>
        </w:rPr>
        <w:t xml:space="preserve">Agreed in principle, subject to contract, on 22 January 2025.</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SUBJECT TO CONTRACT — not legally binding save as to costs and exclusivity.</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1F3864"/>
        <w:sz w:val="30"/>
        <w:szCs w:val="30"/>
      </w:rPr>
      <w:t xml:space="preserve">Whitfield Carter LLP</w:t>
    </w:r>
  </w:p>
  <w:p>
    <w:pPr>
      <w:jc w:val="right"/>
    </w:pPr>
    <w:r>
      <w:rPr>
        <w:color w:val="595959"/>
        <w:sz w:val="16"/>
        <w:szCs w:val="16"/>
      </w:rPr>
      <w:t xml:space="preserve">Solicitors  ·  22 Bishopsgate, London EC2N 4BQ</w:t>
    </w:r>
  </w:p>
  <w:p>
    <w:pPr>
      <w:jc w:val="right"/>
    </w:pPr>
    <w:r>
      <w:rPr>
        <w:color w:val="595959"/>
        <w:sz w:val="16"/>
        <w:szCs w:val="16"/>
      </w:rPr>
      <w:t xml:space="preserve">T +44 (0)20 7946 0820   ·   www.whitfieldcarter.com</w:t>
    </w:r>
  </w:p>
  <w:p>
    <w:pPr>
      <w:pBdr>
        <w:bottom w:val="single" w:color="1F3864"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4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2026-06-27T16:15:11.257Z</dcterms:created>
  <dcterms:modified xsi:type="dcterms:W3CDTF">2026-06-27T16:15:11.257Z</dcterms:modified>
</cp:coreProperties>
</file>

<file path=docProps/custom.xml><?xml version="1.0" encoding="utf-8"?>
<Properties xmlns="http://schemas.openxmlformats.org/officeDocument/2006/custom-properties" xmlns:vt="http://schemas.openxmlformats.org/officeDocument/2006/docPropsVTypes"/>
</file>