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00000"/>
          <w:sz w:val="20"/>
          <w:szCs w:val="20"/>
        </w:rPr>
        <w:t xml:space="preserve">PRIVILEGED &amp; CONFIDENTIAL</w:t>
      </w:r>
    </w:p>
    <w:p>
      <w:pPr>
        <w:spacing w:after="40"/>
        <w:jc w:val="center"/>
      </w:pPr>
      <w:r>
        <w:rPr>
          <w:b/>
          <w:bCs/>
          <w:sz w:val="30"/>
          <w:szCs w:val="30"/>
        </w:rPr>
        <w:t xml:space="preserve">REPORT ON TITLE — DRAFT</w:t>
      </w:r>
    </w:p>
    <w:p>
      <w:pPr>
        <w:spacing w:after="200"/>
        <w:jc w:val="center"/>
      </w:pPr>
      <w:r>
        <w:rPr>
          <w:i/>
          <w:iCs/>
        </w:rPr>
        <w:t xml:space="preserve">Project Westcliff — acquisition of Westcliff House, 14–18 Forbury Road, Reading RG1 3JH</w:t>
      </w:r>
    </w:p>
    <w:p>
      <w:pPr>
        <w:spacing w:after="120"/>
      </w:pPr>
      <w:r>
        <w:rPr>
          <w:b/>
          <w:bCs/>
        </w:rPr>
        <w:t xml:space="preserve">To:  </w:t>
      </w:r>
      <w:r>
        <w:t xml:space="preserve">The Directors, Marchwood Property Group Limited</w:t>
      </w:r>
    </w:p>
    <w:p>
      <w:pPr>
        <w:spacing w:after="120"/>
      </w:pPr>
      <w:r>
        <w:rPr>
          <w:b/>
          <w:bCs/>
        </w:rPr>
        <w:t xml:space="preserve">From:  </w:t>
      </w:r>
      <w:r>
        <w:t xml:space="preserve">Elena Marchetti / Sarah Whitfield, Whitfield Carter LLP</w:t>
      </w:r>
    </w:p>
    <w:p>
      <w:pPr>
        <w:spacing w:after="120"/>
      </w:pPr>
      <w:r>
        <w:rPr>
          <w:b/>
          <w:bCs/>
        </w:rPr>
        <w:t xml:space="preserve">Date:  </w:t>
      </w:r>
      <w:r>
        <w:t xml:space="preserve">28 February 2025 (draft for comment)</w:t>
      </w:r>
    </w:p>
    <w:p>
      <w:pPr>
        <w:spacing w:after="120"/>
      </w:pPr>
      <w:r>
        <w:rPr>
          <w:b/>
          <w:bCs/>
        </w:rPr>
        <w:t xml:space="preserve">Our ref:  </w:t>
      </w:r>
      <w:r>
        <w:t xml:space="preserve">WC-00155 / EM</w:t>
      </w:r>
    </w:p>
    <w:p>
      <w:pPr>
        <w:pBdr>
          <w:bottom w:val="single" w:color="BFBFBF" w:sz="4" w:space="1"/>
        </w:pBdr>
      </w:pPr>
    </w:p>
    <w:p>
      <w:pPr>
        <w:pStyle w:val="Heading1"/>
      </w:pPr>
      <w:r>
        <w:t xml:space="preserve">1. Purpose and summary</w:t>
      </w:r>
    </w:p>
    <w:p>
      <w:pPr>
        <w:spacing w:after="120"/>
      </w:pPr>
      <w:r>
        <w:t xml:space="preserve">This report sets out the results of our investigation of title and our pre-contract enquiries in respect of your proposed acquisition of the freehold investment at Westcliff House, 14–18 Forbury Road, Reading RG1 3JH for £8,450,000. Subject to the points flagged below (in particular the Greenline Coffee rent-review memorandum and the outstanding EPC for the third floor), the title is good and marketable and we are able to recommend that you proceed to exchange. This is a draft; we will finalise it once the Seller has replied to our outstanding enquiries of 26 February 2025.</w:t>
      </w:r>
    </w:p>
    <w:p>
      <w:pPr>
        <w:pStyle w:val="Heading1"/>
      </w:pPr>
      <w:r>
        <w:t xml:space="preserve">2. The Property and tenure</w:t>
      </w:r>
    </w:p>
    <w:p>
      <w:pPr>
        <w:spacing w:after="120"/>
      </w:pPr>
      <w:r>
        <w:t xml:space="preserve">The Property is registered at HM Land Registry with title absolute under title number BK418772. The registered proprietor is Hartwell Cawley Estates Limited, registered as proprietor on 4 May 1998. The freehold comprises a five-storey office building with two ground-floor retail units and 26 car-parking spaces, with a net internal area of approximately 38,400 sq ft.</w:t>
      </w:r>
    </w:p>
    <w:p>
      <w:pPr>
        <w:pStyle w:val="Heading1"/>
      </w:pPr>
      <w:r>
        <w:t xml:space="preserve">3. Matters on the register</w:t>
      </w:r>
    </w:p>
    <w:p>
      <w:pPr>
        <w:spacing w:after="120"/>
      </w:pPr>
      <w:r>
        <w:t xml:space="preserve">The Property Register records the benefit of rights of way and drainage granted by a Transfer dated 4 May 1998. The Charges Register records (a) two restrictive covenants from a Conveyance dated 18 March 1965 (use and building line), which our review indicates are unlikely to impede the existing use; and (b) a registered legal charge dated 11 July 2017 in favour of Clydesford Bank plc, which the Seller has confirmed will be discharged on completion. We have requested a draft DS1/undertaking and will not release completion monies until a satisfactory undertaking is in place.</w:t>
      </w:r>
    </w:p>
    <w:p>
      <w:pPr>
        <w:pStyle w:val="Heading1"/>
      </w:pPr>
      <w:r>
        <w:t xml:space="preserve">4. The occupational tenancies</w:t>
      </w:r>
    </w:p>
    <w:p>
      <w:pPr>
        <w:spacing w:after="120"/>
      </w:pPr>
      <w:r>
        <w:t xml:space="preserve">The Property is sold subject to five occupational leases producing a current passing rent of £612,000 per annum exclusive, with the third floor sold with vacant possession. The principal terms are as follows:</w:t>
      </w:r>
    </w:p>
    <w:p>
      <w:pPr>
        <w:pStyle w:val="ListParagraph"/>
        <w:numPr>
          <w:ilvl w:val="0"/>
          <w:numId w:val="2"/>
        </w:numPr>
        <w:spacing w:after="80"/>
      </w:pPr>
      <w:r>
        <w:t xml:space="preserve">Caldwell Brooke LLP (First and Second Floors) — 10-year lease from 12 June 2019; rent £268,800 p.a.; rent review (open market, upward only) due 12 June 2024 — see paragraph 5 below.</w:t>
      </w:r>
    </w:p>
    <w:p>
      <w:pPr>
        <w:pStyle w:val="ListParagraph"/>
        <w:numPr>
          <w:ilvl w:val="0"/>
          <w:numId w:val="2"/>
        </w:numPr>
        <w:spacing w:after="80"/>
      </w:pPr>
      <w:r>
        <w:t xml:space="preserve">Forbury Marketing Limited (Fourth Floor) — 7-year lease from 1 October 2021; rent £132,000 p.a.; tenant break at year 5.</w:t>
      </w:r>
    </w:p>
    <w:p>
      <w:pPr>
        <w:pStyle w:val="ListParagraph"/>
        <w:numPr>
          <w:ilvl w:val="0"/>
          <w:numId w:val="2"/>
        </w:numPr>
        <w:spacing w:after="80"/>
      </w:pPr>
      <w:r>
        <w:t xml:space="preserve">Greenline Coffee Co Limited (Retail Unit A) — 10-year lease from 3 March 2022; rent £66,000 p.a.; rent-review memorandum referred to but not produced — see paragraph 5.</w:t>
      </w:r>
    </w:p>
    <w:p>
      <w:pPr>
        <w:pStyle w:val="ListParagraph"/>
        <w:numPr>
          <w:ilvl w:val="0"/>
          <w:numId w:val="2"/>
        </w:numPr>
        <w:spacing w:after="80"/>
      </w:pPr>
      <w:r>
        <w:t xml:space="preserve">Meridian Opticians Limited (Retail Unit B) — 10-year lease from 14 September 2020; rent £58,200 p.a.</w:t>
      </w:r>
    </w:p>
    <w:p>
      <w:pPr>
        <w:pStyle w:val="ListParagraph"/>
        <w:numPr>
          <w:ilvl w:val="0"/>
          <w:numId w:val="2"/>
        </w:numPr>
        <w:spacing w:after="80"/>
      </w:pPr>
      <w:r>
        <w:t xml:space="preserve">Penrose Wealth Management Limited (Fifth Floor) — 10-year lease from 25 November 2018; rent £87,000 p.a.; lease expires 24 November 2028.</w:t>
      </w:r>
    </w:p>
    <w:p>
      <w:pPr>
        <w:pStyle w:val="Heading1"/>
      </w:pPr>
      <w:r>
        <w:t xml:space="preserve">5. Points requiring attention</w:t>
      </w:r>
    </w:p>
    <w:p>
      <w:pPr>
        <w:pStyle w:val="Heading2"/>
      </w:pPr>
      <w:r>
        <w:t xml:space="preserve">5.1 Caldwell Brooke rent review (June 2024)</w:t>
      </w:r>
    </w:p>
    <w:p>
      <w:pPr>
        <w:spacing w:after="120"/>
      </w:pPr>
      <w:r>
        <w:t xml:space="preserve">The June 2024 open-market rent review on the Caldwell Brooke lease has not been documented. The Seller has confirmed the review was not implemented and the passing rent remains £268,800. You should be aware that the review remains outstanding and, as upward-only, may permit the new landlord to seek an uplift; we recommend the apportionments and your underwriting assume the current passing rent only.</w:t>
      </w:r>
    </w:p>
    <w:p>
      <w:pPr>
        <w:pStyle w:val="Heading2"/>
      </w:pPr>
      <w:r>
        <w:t xml:space="preserve">5.2 Greenline Coffee rent-review memorandum</w:t>
      </w:r>
    </w:p>
    <w:p>
      <w:pPr>
        <w:spacing w:after="120"/>
      </w:pPr>
      <w:r>
        <w:t xml:space="preserve">The Greenline lease refers to a side memorandum recording a stepped rent. We have asked the Seller to produce it (enquiry 14). Until produced we cannot confirm the contractual rent from March 2025 and we have flagged this as an outstanding enquiry. We recommend a retention or a contractual obligation on the Seller to produce the memorandum before completion.</w:t>
      </w:r>
    </w:p>
    <w:p>
      <w:pPr>
        <w:pStyle w:val="Heading2"/>
      </w:pPr>
      <w:r>
        <w:t xml:space="preserve">5.3 Energy performance certificates</w:t>
      </w:r>
    </w:p>
    <w:p>
      <w:pPr>
        <w:spacing w:after="120"/>
      </w:pPr>
      <w:r>
        <w:t xml:space="preserve">Valid EPCs (rating C or better) have been produced for all let areas except the vacant third floor, for which the EPC has expired. As the third floor is to be let after completion this should be obtained before any new letting; it does not prevent the acquisition.</w:t>
      </w:r>
    </w:p>
    <w:p>
      <w:pPr>
        <w:pStyle w:val="Heading1"/>
      </w:pPr>
      <w:r>
        <w:t xml:space="preserve">6. Searches</w:t>
      </w:r>
    </w:p>
    <w:p>
      <w:pPr>
        <w:spacing w:after="120"/>
      </w:pPr>
      <w:r>
        <w:t xml:space="preserve">The local authority search (Reading Borough Council), drainage and water search, and an environmental (Groundsure) search have been returned. The environmental search returns a “passed” risk rating. The local search reveals the Property fronts a classified road and lies within a controlled parking zone, but reveals no adverse planning entries, enforcement notices or road schemes affecting the Property.</w:t>
      </w:r>
    </w:p>
    <w:p>
      <w:pPr>
        <w:pStyle w:val="Heading1"/>
      </w:pPr>
      <w:r>
        <w:t xml:space="preserve">7. VAT and SDLT</w:t>
      </w:r>
    </w:p>
    <w:p>
      <w:pPr>
        <w:spacing w:after="120"/>
      </w:pPr>
      <w:r>
        <w:t xml:space="preserve">The Seller has opted to tax. The transaction is structured as a transfer of a going concern; you must be VAT-registered and have opted to tax and notified HMRC before completion for TOGC treatment to apply. SDLT on £8,450,000 is payable at the non-residential rates and we calculate the liability at £406,500, payable within 14 days of completion.</w:t>
      </w:r>
    </w:p>
    <w:p>
      <w:pPr>
        <w:pStyle w:val="Heading1"/>
      </w:pPr>
      <w:r>
        <w:t xml:space="preserve">8. Recommendation</w:t>
      </w:r>
    </w:p>
    <w:p>
      <w:pPr>
        <w:spacing w:after="120"/>
      </w:pPr>
      <w:r>
        <w:t xml:space="preserve">Subject to satisfactory replies to the outstanding enquiries (in particular enquiry 14 — the Greenline memorandum), receipt of the Clydesford Bank discharge undertaking, and your confirmation on the rent-review position, we are able to recommend that you proceed to exchange at the agreed price of £8,450,000. Please let us have your comments on this draft.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PRIVILEGED &amp; CONFIDENTIAL — draft report on title, subject to revision.</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30"/>
        <w:szCs w:val="30"/>
      </w:rPr>
      <w:t xml:space="preserve">Whitfield Carter LLP</w:t>
    </w:r>
  </w:p>
  <w:p>
    <w:pPr>
      <w:jc w:val="right"/>
    </w:pPr>
    <w:r>
      <w:rPr>
        <w:color w:val="595959"/>
        <w:sz w:val="16"/>
        <w:szCs w:val="16"/>
      </w:rPr>
      <w:t xml:space="preserve">Solicitors  ·  22 Bishopsgate, London EC2N 4BQ</w:t>
    </w:r>
  </w:p>
  <w:p>
    <w:pPr>
      <w:jc w:val="right"/>
    </w:pPr>
    <w:r>
      <w:rPr>
        <w:color w:val="595959"/>
        <w:sz w:val="16"/>
        <w:szCs w:val="16"/>
      </w:rPr>
      <w:t xml:space="preserve">T +44 (0)20 7946 0820   ·   www.whitfieldcarter.com</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4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2026-06-27T16:16:59.591Z</dcterms:created>
  <dcterms:modified xsi:type="dcterms:W3CDTF">2026-06-27T16:16:59.592Z</dcterms:modified>
</cp:coreProperties>
</file>

<file path=docProps/custom.xml><?xml version="1.0" encoding="utf-8"?>
<Properties xmlns="http://schemas.openxmlformats.org/officeDocument/2006/custom-properties" xmlns:vt="http://schemas.openxmlformats.org/officeDocument/2006/docPropsVTypes"/>
</file>