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2"/>
        </w:rPr>
        <w:t>IN THE BUSINESS AND PROPERTY COURTS IN LEEDS</w:t>
      </w:r>
    </w:p>
    <w:p>
      <w:pPr>
        <w:spacing w:after="120"/>
      </w:pPr>
      <w:r>
        <w:rPr>
          <w:b/>
          <w:sz w:val="22"/>
        </w:rPr>
        <w:t>TECHNOLOGY AND CONSTRUCTION COURT (KBD)</w:t>
      </w:r>
    </w:p>
    <w:p>
      <w:pPr>
        <w:spacing w:after="120"/>
        <w:jc w:val="right"/>
      </w:pPr>
      <w:r>
        <w:rPr>
          <w:b w:val="0"/>
          <w:sz w:val="22"/>
        </w:rPr>
        <w:t>Claim No. BL-2025-LDS-000241</w:t>
      </w:r>
    </w:p>
    <w:p>
      <w:pPr>
        <w:spacing w:after="120"/>
      </w:pPr>
      <w:r>
        <w:rPr>
          <w:b w:val="0"/>
          <w:sz w:val="22"/>
        </w:rPr>
        <w:t>BEFORE HIS HONOUR JUDGE PRESTWICH sitting as a Judge of the High Court</w:t>
      </w:r>
    </w:p>
    <w:p>
      <w:pPr>
        <w:spacing w:after="120"/>
      </w:pPr>
      <w:r>
        <w:rPr>
          <w:b w:val="0"/>
          <w:sz w:val="22"/>
        </w:rPr>
        <w:t>BETWEEN:</w:t>
      </w:r>
    </w:p>
    <w:p>
      <w:pPr>
        <w:spacing w:after="120"/>
        <w:jc w:val="center"/>
      </w:pPr>
      <w:r>
        <w:rPr>
          <w:b/>
          <w:sz w:val="22"/>
        </w:rPr>
        <w:t>MARLDALE AGGREGATES LIMITED</w:t>
      </w:r>
    </w:p>
    <w:p>
      <w:pPr>
        <w:spacing w:after="120"/>
        <w:jc w:val="right"/>
      </w:pPr>
      <w:r>
        <w:rPr>
          <w:b w:val="0"/>
          <w:sz w:val="22"/>
        </w:rPr>
        <w:t>Claimant</w:t>
      </w:r>
    </w:p>
    <w:p>
      <w:pPr>
        <w:spacing w:after="120"/>
        <w:jc w:val="center"/>
      </w:pPr>
      <w:r>
        <w:rPr>
          <w:b w:val="0"/>
          <w:sz w:val="22"/>
        </w:rPr>
        <w:t>- and -</w:t>
      </w:r>
    </w:p>
    <w:p>
      <w:pPr>
        <w:spacing w:after="120"/>
        <w:jc w:val="center"/>
      </w:pPr>
      <w:r>
        <w:rPr>
          <w:b/>
          <w:sz w:val="22"/>
        </w:rPr>
        <w:t>CRAYFORD PLANT ENGINEERING LIMITED</w:t>
      </w:r>
    </w:p>
    <w:p>
      <w:pPr>
        <w:spacing w:after="120"/>
        <w:jc w:val="right"/>
      </w:pPr>
      <w:r>
        <w:rPr>
          <w:b w:val="0"/>
          <w:sz w:val="22"/>
        </w:rPr>
        <w:t>Defendant</w:t>
      </w:r>
    </w:p>
    <w:p>
      <w:pPr>
        <w:spacing w:after="120"/>
        <w:jc w:val="center"/>
      </w:pPr>
      <w:r>
        <w:rPr>
          <w:b w:val="0"/>
          <w:sz w:val="22"/>
        </w:rPr>
        <w:t>______________________________________________________________________</w:t>
      </w:r>
    </w:p>
    <w:p>
      <w:pPr>
        <w:spacing w:after="120"/>
        <w:jc w:val="center"/>
      </w:pPr>
      <w:r>
        <w:rPr>
          <w:b/>
          <w:sz w:val="26"/>
        </w:rPr>
        <w:t>CASE MANAGEMENT ORDER</w:t>
      </w:r>
    </w:p>
    <w:p>
      <w:pPr>
        <w:spacing w:after="120"/>
        <w:jc w:val="center"/>
      </w:pPr>
      <w:r>
        <w:rPr>
          <w:b w:val="0"/>
          <w:sz w:val="22"/>
        </w:rPr>
        <w:t>______________________________________________________________________</w:t>
      </w:r>
    </w:p>
    <w:p>
      <w:pPr>
        <w:spacing w:after="120"/>
      </w:pPr>
      <w:r>
        <w:rPr>
          <w:b w:val="0"/>
          <w:sz w:val="22"/>
        </w:rPr>
        <w:t>UPON the first Case Management Conference held on 18 June 2025</w:t>
      </w:r>
    </w:p>
    <w:p>
      <w:pPr>
        <w:spacing w:after="120"/>
      </w:pPr>
      <w:r>
        <w:rPr>
          <w:b w:val="0"/>
          <w:sz w:val="22"/>
        </w:rPr>
        <w:t>AND UPON hearing counsel for the Claimant and counsel for the Defendant</w:t>
      </w:r>
    </w:p>
    <w:p>
      <w:pPr>
        <w:spacing w:after="120"/>
      </w:pPr>
      <w:r>
        <w:rPr>
          <w:b/>
          <w:sz w:val="22"/>
        </w:rPr>
        <w:t>IT IS ORDERED that:</w:t>
      </w:r>
    </w:p>
    <w:p>
      <w:pPr>
        <w:spacing w:after="120"/>
      </w:pPr>
      <w:r>
        <w:rPr>
          <w:b/>
        </w:rPr>
        <w:t>1.</w:t>
        <w:tab/>
      </w:r>
      <w:r>
        <w:t>Disclosure. The parties shall give Extended Disclosure by Model C (request-led search-based disclosure) in respect of the Issues for Disclosure set out in the agreed List of Issues, by 4pm on 25 July 2025.</w:t>
      </w:r>
    </w:p>
    <w:p>
      <w:pPr>
        <w:spacing w:after="120"/>
      </w:pPr>
      <w:r>
        <w:rPr>
          <w:b/>
        </w:rPr>
        <w:t>2.</w:t>
        <w:tab/>
      </w:r>
      <w:r>
        <w:t>Single Joint Expert. There shall be a single joint expert in the field of mechanical/plant engineering to report on the cause of the failures of the jaw-crusher assembly and the Plant's failure to achieve the warranted throughput. The parties shall agree the identity of the expert by 11 July 2025, failing which either party may apply.</w:t>
      </w:r>
    </w:p>
    <w:p>
      <w:pPr>
        <w:spacing w:after="120"/>
      </w:pPr>
      <w:r>
        <w:rPr>
          <w:b/>
        </w:rPr>
        <w:t>3.</w:t>
        <w:tab/>
      </w:r>
      <w:r>
        <w:t>The single joint expert shall be instructed by 18 July 2025 and shall report by 19 September 2025. The parties shall have leave to put written questions by 3 October 2025.</w:t>
      </w:r>
    </w:p>
    <w:p>
      <w:pPr>
        <w:spacing w:after="120"/>
      </w:pPr>
      <w:r>
        <w:rPr>
          <w:b/>
        </w:rPr>
        <w:t>4.</w:t>
        <w:tab/>
      </w:r>
      <w:r>
        <w:t>Witness statements. The parties shall exchange signed statements of witnesses of fact by 4pm on 8 August 2025.</w:t>
      </w:r>
    </w:p>
    <w:p>
      <w:pPr>
        <w:spacing w:after="120"/>
      </w:pPr>
      <w:r>
        <w:rPr>
          <w:b/>
        </w:rPr>
        <w:t>5.</w:t>
        <w:tab/>
      </w:r>
      <w:r>
        <w:t>Schedules. The Claimant shall serve an updated Schedule of Loss, and the Defendant a Counter-Schedule, by 22 August 2025.</w:t>
      </w:r>
    </w:p>
    <w:p>
      <w:pPr>
        <w:spacing w:after="120"/>
      </w:pPr>
      <w:r>
        <w:rPr>
          <w:b/>
        </w:rPr>
        <w:t>6.</w:t>
        <w:tab/>
      </w:r>
      <w:r>
        <w:t>Costs budgeting. The parties shall file and exchange Precedent H costs budgets by 1 August 2025; a Costs and Case Management Conference is listed for 16 October 2025 with a time estimate of 2 hours.</w:t>
      </w:r>
    </w:p>
    <w:p>
      <w:pPr>
        <w:spacing w:after="120"/>
      </w:pPr>
      <w:r>
        <w:rPr>
          <w:b/>
        </w:rPr>
        <w:t>7.</w:t>
        <w:tab/>
      </w:r>
      <w:r>
        <w:t>Trial. The matter is listed for trial in a window commencing 9 February 2026 with an estimated length of 5 days, to be heard by a TCC judge.</w:t>
      </w:r>
    </w:p>
    <w:p>
      <w:pPr>
        <w:spacing w:after="120"/>
      </w:pPr>
      <w:r>
        <w:rPr>
          <w:b/>
        </w:rPr>
        <w:t>8.</w:t>
        <w:tab/>
      </w:r>
      <w:r>
        <w:t>Costs of the CMC shall be costs in the case.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Dated: 18 June 2025</w:t>
      </w:r>
    </w:p>
    <w:p>
      <w:pPr>
        <w:spacing w:after="120"/>
      </w:pPr>
      <w:r>
        <w:rPr>
          <w:b w:val="0"/>
          <w:sz w:val="22"/>
        </w:rPr>
        <w:t>By the Court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