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6"/>
        </w:rPr>
        <w:t>MARLDALE AGGREGATES v CRAYFORD PLANT ENGINEERING</w:t>
      </w:r>
    </w:p>
    <w:p>
      <w:pPr>
        <w:spacing w:after="120"/>
        <w:jc w:val="center"/>
      </w:pPr>
      <w:r>
        <w:rPr>
          <w:b/>
          <w:i w:val="0"/>
          <w:sz w:val="22"/>
        </w:rPr>
        <w:t>CHRONOLOGY OF KEY EVENTS</w:t>
      </w:r>
    </w:p>
    <w:p>
      <w:pPr>
        <w:spacing w:after="120"/>
        <w:jc w:val="center"/>
      </w:pPr>
      <w:r>
        <w:rPr>
          <w:b w:val="0"/>
          <w:i w:val="0"/>
          <w:sz w:val="18"/>
        </w:rPr>
        <w:t>Prepared by Whitfield Carter LLP – Our ref TG/WC-00182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March 2024</w:t>
            </w:r>
          </w:p>
        </w:tc>
        <w:tc>
          <w:tcPr>
            <w:tcW w:type="dxa" w:w="2880"/>
          </w:tcPr>
          <w:p>
            <w:r>
              <w:t>Marldale approaches Crayford; throughput requirement of 320 t/h made known.</w:t>
            </w:r>
          </w:p>
        </w:tc>
        <w:tc>
          <w:tcPr>
            <w:tcW w:type="dxa" w:w="2880"/>
          </w:tcPr>
          <w:p>
            <w:r>
              <w:t>OM1/2</w:t>
            </w:r>
          </w:p>
        </w:tc>
      </w:tr>
      <w:tr>
        <w:tc>
          <w:tcPr>
            <w:tcW w:type="dxa" w:w="2880"/>
          </w:tcPr>
          <w:p>
            <w:r>
              <w:t>14 June 2024</w:t>
            </w:r>
          </w:p>
        </w:tc>
        <w:tc>
          <w:tcPr>
            <w:tcW w:type="dxa" w:w="2880"/>
          </w:tcPr>
          <w:p>
            <w:r>
              <w:t>Supply Agreement signed for CPE C-900, price £1,185,000 + VAT.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19 Aug 2024</w:t>
            </w:r>
          </w:p>
        </w:tc>
        <w:tc>
          <w:tcPr>
            <w:tcW w:type="dxa" w:w="2880"/>
          </w:tcPr>
          <w:p>
            <w:r>
              <w:t>Plant delivered and commissioned at Hartle Edge quarry.</w:t>
            </w:r>
          </w:p>
        </w:tc>
        <w:tc>
          <w:tcPr>
            <w:tcW w:type="dxa" w:w="2880"/>
          </w:tcPr>
          <w:p>
            <w:r>
              <w:t>C4</w:t>
            </w:r>
          </w:p>
        </w:tc>
      </w:tr>
      <w:tr>
        <w:tc>
          <w:tcPr>
            <w:tcW w:type="dxa" w:w="2880"/>
          </w:tcPr>
          <w:p>
            <w:r>
              <w:t>10 Sep 2024</w:t>
            </w:r>
          </w:p>
        </w:tc>
        <w:tc>
          <w:tcPr>
            <w:tcW w:type="dxa" w:w="2880"/>
          </w:tcPr>
          <w:p>
            <w:r>
              <w:t>First jaw/bearing failure (~190 operating hours).</w:t>
            </w:r>
          </w:p>
        </w:tc>
        <w:tc>
          <w:tcPr>
            <w:tcW w:type="dxa" w:w="2880"/>
          </w:tcPr>
          <w:p>
            <w:r>
              <w:t>Diary tab 3</w:t>
            </w:r>
          </w:p>
        </w:tc>
      </w:tr>
      <w:tr>
        <w:tc>
          <w:tcPr>
            <w:tcW w:type="dxa" w:w="2880"/>
          </w:tcPr>
          <w:p>
            <w:r>
              <w:t>7 Oct 2024</w:t>
            </w:r>
          </w:p>
        </w:tc>
        <w:tc>
          <w:tcPr>
            <w:tcW w:type="dxa" w:w="2880"/>
          </w:tcPr>
          <w:p>
            <w:r>
              <w:t>Second bearing/toggle failure.</w:t>
            </w:r>
          </w:p>
        </w:tc>
        <w:tc>
          <w:tcPr>
            <w:tcW w:type="dxa" w:w="2880"/>
          </w:tcPr>
          <w:p>
            <w:r>
              <w:t>Diary tab 3</w:t>
            </w:r>
          </w:p>
        </w:tc>
      </w:tr>
      <w:tr>
        <w:tc>
          <w:tcPr>
            <w:tcW w:type="dxa" w:w="2880"/>
          </w:tcPr>
          <w:p>
            <w:r>
              <w:t>22 Nov 2024</w:t>
            </w:r>
          </w:p>
        </w:tc>
        <w:tc>
          <w:tcPr>
            <w:tcW w:type="dxa" w:w="2880"/>
          </w:tcPr>
          <w:p>
            <w:r>
              <w:t>Third bearing/toggle failure.</w:t>
            </w:r>
          </w:p>
        </w:tc>
        <w:tc>
          <w:tcPr>
            <w:tcW w:type="dxa" w:w="2880"/>
          </w:tcPr>
          <w:p>
            <w:r>
              <w:t>Diary tab 3</w:t>
            </w:r>
          </w:p>
        </w:tc>
      </w:tr>
      <w:tr>
        <w:tc>
          <w:tcPr>
            <w:tcW w:type="dxa" w:w="2880"/>
          </w:tcPr>
          <w:p>
            <w:r>
              <w:t>17 Nov 2024</w:t>
            </w:r>
          </w:p>
        </w:tc>
        <w:tc>
          <w:tcPr>
            <w:tcW w:type="dxa" w:w="2880"/>
          </w:tcPr>
          <w:p>
            <w:r>
              <w:t>90-day reliability period expires (per Defendant); retention disputed.</w:t>
            </w:r>
          </w:p>
        </w:tc>
        <w:tc>
          <w:tcPr>
            <w:tcW w:type="dxa" w:w="2880"/>
          </w:tcPr>
          <w:p>
            <w:r>
              <w:t>Defence ¶9</w:t>
            </w:r>
          </w:p>
        </w:tc>
      </w:tr>
      <w:tr>
        <w:tc>
          <w:tcPr>
            <w:tcW w:type="dxa" w:w="2880"/>
          </w:tcPr>
          <w:p>
            <w:r>
              <w:t>17 Dec 2024</w:t>
            </w:r>
          </w:p>
        </w:tc>
        <w:tc>
          <w:tcPr>
            <w:tcW w:type="dxa" w:w="2880"/>
          </w:tcPr>
          <w:p>
            <w:r>
              <w:t>Final retention instalment (£142,500) falls due per Defendant; withheld.</w:t>
            </w:r>
          </w:p>
        </w:tc>
        <w:tc>
          <w:tcPr>
            <w:tcW w:type="dxa" w:w="2880"/>
          </w:tcPr>
          <w:p>
            <w:r>
              <w:t>Defence ¶9</w:t>
            </w:r>
          </w:p>
        </w:tc>
      </w:tr>
      <w:tr>
        <w:tc>
          <w:tcPr>
            <w:tcW w:type="dxa" w:w="2880"/>
          </w:tcPr>
          <w:p>
            <w:r>
              <w:t>14 Jan 2025</w:t>
            </w:r>
          </w:p>
        </w:tc>
        <w:tc>
          <w:tcPr>
            <w:tcW w:type="dxa" w:w="2880"/>
          </w:tcPr>
          <w:p>
            <w:r>
              <w:t>Secondary screen drive shears.</w:t>
            </w:r>
          </w:p>
        </w:tc>
        <w:tc>
          <w:tcPr>
            <w:tcW w:type="dxa" w:w="2880"/>
          </w:tcPr>
          <w:p>
            <w:r>
              <w:t>Diary tab 3</w:t>
            </w:r>
          </w:p>
        </w:tc>
      </w:tr>
      <w:tr>
        <w:tc>
          <w:tcPr>
            <w:tcW w:type="dxa" w:w="2880"/>
          </w:tcPr>
          <w:p>
            <w:r>
              <w:t>31 Jan 2025</w:t>
            </w:r>
          </w:p>
        </w:tc>
        <w:tc>
          <w:tcPr>
            <w:tcW w:type="dxa" w:w="2880"/>
          </w:tcPr>
          <w:p>
            <w:r>
              <w:t>Cumulative downtime reaches 41 working days.</w:t>
            </w:r>
          </w:p>
        </w:tc>
        <w:tc>
          <w:tcPr>
            <w:tcW w:type="dxa" w:w="2880"/>
          </w:tcPr>
          <w:p>
            <w:r>
              <w:t>SoL</w:t>
            </w:r>
          </w:p>
        </w:tc>
      </w:tr>
      <w:tr>
        <w:tc>
          <w:tcPr>
            <w:tcW w:type="dxa" w:w="2880"/>
          </w:tcPr>
          <w:p>
            <w:r>
              <w:t>13 Feb 2025</w:t>
            </w:r>
          </w:p>
        </w:tc>
        <w:tc>
          <w:tcPr>
            <w:tcW w:type="dxa" w:w="2880"/>
          </w:tcPr>
          <w:p>
            <w:r>
              <w:t>Whitfield Carter instructed; engagement letter issued.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28 Feb 2025</w:t>
            </w:r>
          </w:p>
        </w:tc>
        <w:tc>
          <w:tcPr>
            <w:tcW w:type="dxa" w:w="2880"/>
          </w:tcPr>
          <w:p>
            <w:r>
              <w:t>Letter of Claim sent under TCC Protocol.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9 Apr 2025</w:t>
            </w:r>
          </w:p>
        </w:tc>
        <w:tc>
          <w:tcPr>
            <w:tcW w:type="dxa" w:w="2880"/>
          </w:tcPr>
          <w:p>
            <w:r>
              <w:t>Particulars of Claim served.</w:t>
            </w:r>
          </w:p>
        </w:tc>
        <w:tc>
          <w:tcPr>
            <w:tcW w:type="dxa" w:w="2880"/>
          </w:tcPr>
          <w:p>
            <w:r>
              <w:t>Court file</w:t>
            </w:r>
          </w:p>
        </w:tc>
      </w:tr>
      <w:tr>
        <w:tc>
          <w:tcPr>
            <w:tcW w:type="dxa" w:w="2880"/>
          </w:tcPr>
          <w:p>
            <w:r>
              <w:t>14 May 2025</w:t>
            </w:r>
          </w:p>
        </w:tc>
        <w:tc>
          <w:tcPr>
            <w:tcW w:type="dxa" w:w="2880"/>
          </w:tcPr>
          <w:p>
            <w:r>
              <w:t>Defence and Counterclaim served.</w:t>
            </w:r>
          </w:p>
        </w:tc>
        <w:tc>
          <w:tcPr>
            <w:tcW w:type="dxa" w:w="2880"/>
          </w:tcPr>
          <w:p>
            <w:r>
              <w:t>Court file</w:t>
            </w:r>
          </w:p>
        </w:tc>
      </w:tr>
      <w:tr>
        <w:tc>
          <w:tcPr>
            <w:tcW w:type="dxa" w:w="2880"/>
          </w:tcPr>
          <w:p>
            <w:r>
              <w:t>1 Jul 2025</w:t>
            </w:r>
          </w:p>
        </w:tc>
        <w:tc>
          <w:tcPr>
            <w:tcW w:type="dxa" w:w="2880"/>
          </w:tcPr>
          <w:p>
            <w:r>
              <w:t>Counsel's advice on merits and quantum.</w:t>
            </w:r>
          </w:p>
        </w:tc>
        <w:tc>
          <w:tcPr>
            <w:tcW w:type="dxa" w:w="2880"/>
          </w:tcPr>
          <w:p>
            <w:r>
              <w:t>Advice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