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30"/>
        </w:rPr>
        <w:t>Whitfield Carter LLP</w:t>
      </w:r>
    </w:p>
    <w:p>
      <w:pPr>
        <w:jc w:val="right"/>
      </w:pPr>
      <w:r>
        <w:rPr>
          <w:color w:val="555555"/>
          <w:sz w:val="16"/>
        </w:rPr>
        <w:t>22 Bishopsgate, London EC2N 4BQ</w:t>
        <w:br/>
        <w:t>DX 138760 Cheapside  |  T +44 (0)20 7946 5500</w:t>
        <w:br/>
        <w:t>www.whitfieldcarter.com</w:t>
      </w:r>
    </w:p>
    <w:p>
      <w:pPr>
        <w:spacing w:after="40"/>
      </w:pPr>
      <w:r>
        <w:rPr>
          <w:color w:val="888888"/>
          <w:sz w:val="14"/>
        </w:rPr>
        <w:t>____________________________________________________________________________________________</w:t>
      </w:r>
    </w:p>
    <w:p>
      <w:pPr>
        <w:spacing w:after="120"/>
      </w:pPr>
      <w:r>
        <w:rPr>
          <w:b/>
          <w:i w:val="0"/>
          <w:sz w:val="18"/>
        </w:rPr>
        <w:t>WITHOUT PREJUDICE SAVE AS TO COSTS</w:t>
      </w:r>
    </w:p>
    <w:p>
      <w:pPr>
        <w:spacing w:after="120"/>
      </w:pPr>
      <w:r>
        <w:rPr>
          <w:b w:val="0"/>
          <w:i w:val="0"/>
          <w:sz w:val="22"/>
        </w:rPr>
        <w:t>By email and Recorded Delivery</w:t>
      </w:r>
    </w:p>
    <w:p>
      <w:pPr>
        <w:spacing w:after="120"/>
      </w:pPr>
      <w:r>
        <w:rPr>
          <w:b w:val="0"/>
          <w:i w:val="0"/>
          <w:sz w:val="22"/>
        </w:rPr>
        <w:t>The Directors</w:t>
      </w:r>
    </w:p>
    <w:p>
      <w:pPr>
        <w:spacing w:after="120"/>
      </w:pPr>
      <w:r>
        <w:rPr>
          <w:b w:val="0"/>
          <w:i w:val="0"/>
          <w:sz w:val="22"/>
        </w:rPr>
        <w:t>Crayford Plant Engineering Limited</w:t>
      </w:r>
    </w:p>
    <w:p>
      <w:pPr>
        <w:spacing w:after="120"/>
      </w:pPr>
      <w:r>
        <w:rPr>
          <w:b w:val="0"/>
          <w:i w:val="0"/>
          <w:sz w:val="22"/>
        </w:rPr>
        <w:t>Brunel Works, Foundry Road, Wakefield WF2 7TD</w:t>
      </w:r>
    </w:p>
    <w:p>
      <w:pPr>
        <w:spacing w:after="120"/>
      </w:pPr>
      <w:r>
        <w:rPr>
          <w:b w:val="0"/>
          <w:i w:val="0"/>
          <w:sz w:val="22"/>
        </w:rPr>
      </w:r>
    </w:p>
    <w:p>
      <w:pPr>
        <w:spacing w:after="120"/>
      </w:pPr>
      <w:r>
        <w:rPr>
          <w:b w:val="0"/>
          <w:i w:val="0"/>
          <w:sz w:val="18"/>
        </w:rPr>
        <w:t>Our ref: TG/WC-00182/MARLD-01</w:t>
      </w:r>
    </w:p>
    <w:p>
      <w:pPr>
        <w:spacing w:after="120"/>
      </w:pPr>
      <w:r>
        <w:rPr>
          <w:b w:val="0"/>
          <w:i w:val="0"/>
          <w:sz w:val="22"/>
        </w:rPr>
        <w:t>28 February 2025</w:t>
      </w:r>
    </w:p>
    <w:p>
      <w:pPr>
        <w:spacing w:after="120"/>
      </w:pPr>
      <w:r>
        <w:rPr>
          <w:b w:val="0"/>
          <w:i w:val="0"/>
          <w:sz w:val="22"/>
        </w:rPr>
      </w:r>
    </w:p>
    <w:p>
      <w:pPr>
        <w:spacing w:after="120"/>
      </w:pPr>
      <w:r>
        <w:rPr>
          <w:b w:val="0"/>
          <w:i w:val="0"/>
          <w:sz w:val="22"/>
        </w:rPr>
        <w:t>Dear Sirs</w:t>
      </w:r>
    </w:p>
    <w:p>
      <w:pPr>
        <w:spacing w:after="120"/>
      </w:pPr>
      <w:r>
        <w:rPr>
          <w:b/>
          <w:i w:val="0"/>
          <w:sz w:val="22"/>
        </w:rPr>
        <w:t>LETTER OF CLAIM – Pre-Action Protocol for Construction and Engineering Disputes</w:t>
      </w:r>
    </w:p>
    <w:p>
      <w:pPr>
        <w:spacing w:after="120"/>
      </w:pPr>
      <w:r>
        <w:rPr>
          <w:b/>
          <w:i w:val="0"/>
          <w:sz w:val="22"/>
        </w:rPr>
        <w:t>Marldale Aggregates Limited – and – Crayford Plant Engineering Limited</w:t>
      </w:r>
    </w:p>
    <w:p>
      <w:pPr>
        <w:spacing w:after="120"/>
      </w:pPr>
      <w:r>
        <w:rPr>
          <w:b/>
          <w:i w:val="0"/>
          <w:sz w:val="22"/>
        </w:rPr>
        <w:t>Supply Agreement dated 14 June 2024 – CPE C-900 mobile crushing and screening plant</w:t>
      </w:r>
    </w:p>
    <w:p>
      <w:pPr>
        <w:spacing w:after="120"/>
      </w:pPr>
      <w:r>
        <w:rPr>
          <w:b w:val="0"/>
          <w:i w:val="0"/>
          <w:sz w:val="22"/>
        </w:rPr>
        <w:t>We act for Marldale Aggregates Limited (“our client”). This letter is the Letter of Claim required by paragraph 3 of the Pre-Action Protocol for Construction and Engineering Disputes. We invite your considered response within 28 days.</w:t>
      </w:r>
    </w:p>
    <w:p>
      <w:pPr>
        <w:spacing w:before="200" w:after="120"/>
      </w:pPr>
      <w:r>
        <w:rPr>
          <w:b/>
          <w:sz w:val="26"/>
        </w:rPr>
        <w:t>The Parties and the Contract</w:t>
      </w:r>
    </w:p>
    <w:p>
      <w:pPr>
        <w:spacing w:after="120"/>
      </w:pPr>
      <w:r>
        <w:rPr>
          <w:b/>
        </w:rPr>
        <w:t>1.</w:t>
        <w:tab/>
      </w:r>
      <w:r>
        <w:t>Our client is a producer of construction aggregates operating Hartle Edge quarry near Skipton, North Yorkshire. You are a supplier and manufacturer of mobile crushing and screening equipment.</w:t>
      </w:r>
    </w:p>
    <w:p>
      <w:pPr>
        <w:spacing w:after="120"/>
      </w:pPr>
      <w:r>
        <w:rPr>
          <w:b/>
        </w:rPr>
        <w:t>2.</w:t>
        <w:tab/>
      </w:r>
      <w:r>
        <w:t>By a written Supply Agreement dated 14 June 2024 (“the Agreement”), you agreed to design, supply, deliver and commission one CPE C-900 mobile jaw-crushing and screening plant (“the Plant”) for the price of £1,185,000 plus VAT.</w:t>
      </w:r>
    </w:p>
    <w:p>
      <w:pPr>
        <w:spacing w:after="120"/>
      </w:pPr>
      <w:r>
        <w:rPr>
          <w:b/>
        </w:rPr>
        <w:t>3.</w:t>
        <w:tab/>
      </w:r>
      <w:r>
        <w:t>Clause 7 of the Agreement contained an express performance warranty that the Plant would achieve a sustained throughput of not less than 320 tonnes per hour of 0–40mm crushed aggregate when fed with quarried limestone of the characteristics described in Schedule 2, and would maintain operational availability of not less than 95% over any rolling three-month period.</w:t>
      </w:r>
    </w:p>
    <w:p>
      <w:pPr>
        <w:spacing w:after="120"/>
      </w:pPr>
      <w:r>
        <w:rPr>
          <w:b/>
        </w:rPr>
        <w:t>4.</w:t>
        <w:tab/>
      </w:r>
      <w:r>
        <w:t>Clause 8 contained a parts-and-performance warranty for a period of 24 months from the date of commissioning, under which you undertook to remedy at your own cost any defect in materials, design or workmanship.</w:t>
      </w:r>
    </w:p>
    <w:p>
      <w:pPr>
        <w:spacing w:after="120"/>
      </w:pPr>
      <w:r>
        <w:rPr>
          <w:b/>
        </w:rPr>
        <w:t>5.</w:t>
        <w:tab/>
      </w:r>
      <w:r>
        <w:t>The Plant was delivered to Hartle Edge quarry and commissioned by your engineers on 19 August 2024.</w:t>
      </w:r>
    </w:p>
    <w:p>
      <w:pPr>
        <w:spacing w:before="200" w:after="120"/>
      </w:pPr>
      <w:r>
        <w:rPr>
          <w:b/>
          <w:sz w:val="26"/>
        </w:rPr>
        <w:t>The Defects and Breaches</w:t>
      </w:r>
    </w:p>
    <w:p>
      <w:pPr>
        <w:spacing w:after="120"/>
      </w:pPr>
      <w:r>
        <w:rPr>
          <w:b/>
        </w:rPr>
        <w:t>6.</w:t>
        <w:tab/>
      </w:r>
      <w:r>
        <w:t>From early September 2024 the Plant suffered a series of mechanical failures. In summary: (a) the jaw-crusher toggle seat and eccentric-shaft bearings failed on three separate occasions (10 September, 7 October and 22 November 2024); (b) the primary hydraulic circuit lost pressure repeatedly, disabling the closed-side-setting adjustment; and (c) the secondary screen drive sheared on 14 January 2025.</w:t>
      </w:r>
    </w:p>
    <w:p>
      <w:pPr>
        <w:spacing w:after="120"/>
      </w:pPr>
      <w:r>
        <w:rPr>
          <w:b/>
        </w:rPr>
        <w:t>7.</w:t>
        <w:tab/>
      </w:r>
      <w:r>
        <w:t>The Plant has never achieved the warranted throughput. Our client's weighbridge and PLC production logs record a best sustained rate of approximately 210 tonnes per hour, some 34% below the contractual figure, and an average availability over the period of approximately 71% against the warranted 95%.</w:t>
      </w:r>
    </w:p>
    <w:p>
      <w:pPr>
        <w:spacing w:after="120"/>
      </w:pPr>
      <w:r>
        <w:rPr>
          <w:b/>
        </w:rPr>
        <w:t>8.</w:t>
        <w:tab/>
      </w:r>
      <w:r>
        <w:t>Between 10 September 2024 and 31 January 2025 the Plant was wholly out of service for 41 working days. Your engineers attended on six occasions but the underlying defects were not remedied.</w:t>
      </w:r>
    </w:p>
    <w:p>
      <w:pPr>
        <w:spacing w:after="120"/>
      </w:pPr>
      <w:r>
        <w:rPr>
          <w:b/>
        </w:rPr>
        <w:t>9.</w:t>
        <w:tab/>
      </w:r>
      <w:r>
        <w:t>These matters constitute breaches of the express performance warranty in clause 7 and of the parts-and-performance warranty in clause 8, and a breach of the implied terms as to satisfactory quality and fitness for purpose under sections 14(2) and 14(3) of the Sale of Goods Act 1979.</w:t>
      </w:r>
    </w:p>
    <w:p>
      <w:pPr>
        <w:spacing w:before="200" w:after="120"/>
      </w:pPr>
      <w:r>
        <w:rPr>
          <w:b/>
          <w:sz w:val="26"/>
        </w:rPr>
        <w:t>Our Client's Losses</w:t>
      </w:r>
    </w:p>
    <w:p>
      <w:pPr>
        <w:spacing w:after="120"/>
      </w:pPr>
      <w:r>
        <w:rPr>
          <w:b/>
        </w:rPr>
        <w:t>10.</w:t>
        <w:tab/>
      </w:r>
      <w:r>
        <w:t>Cost of remedial and replacement works, including the hire of a substitute crushing plant and engineering rectification: £612,000.</w:t>
      </w:r>
    </w:p>
    <w:p>
      <w:pPr>
        <w:spacing w:after="120"/>
      </w:pPr>
      <w:r>
        <w:rPr>
          <w:b/>
        </w:rPr>
        <w:t>11.</w:t>
        <w:tab/>
      </w:r>
      <w:r>
        <w:t>Loss of production and consequent loss of profit over the 41 days of downtime and the period of reduced throughput: £648,500.</w:t>
      </w:r>
    </w:p>
    <w:p>
      <w:pPr>
        <w:spacing w:after="120"/>
      </w:pPr>
      <w:r>
        <w:rPr>
          <w:b/>
        </w:rPr>
        <w:t>12.</w:t>
        <w:tab/>
      </w:r>
      <w:r>
        <w:t>Wasted overheads, standby labour and abortive haulage: £104,200.</w:t>
      </w:r>
    </w:p>
    <w:p>
      <w:pPr>
        <w:spacing w:after="120"/>
      </w:pPr>
      <w:r>
        <w:rPr>
          <w:b/>
        </w:rPr>
        <w:t>13.</w:t>
        <w:tab/>
      </w:r>
      <w:r>
        <w:t>Interest pursuant to section 35A of the Senior Courts Act 1981.</w:t>
      </w:r>
    </w:p>
    <w:p>
      <w:pPr>
        <w:spacing w:after="120"/>
      </w:pPr>
      <w:r>
        <w:rPr>
          <w:b w:val="0"/>
          <w:i w:val="0"/>
          <w:sz w:val="22"/>
        </w:rPr>
        <w:t>The total of our client's losses (before interest) is £1,364,700. With interest our client's claim is in the region of £1.42 million.</w:t>
      </w:r>
    </w:p>
    <w:p>
      <w:pPr>
        <w:spacing w:before="200" w:after="120"/>
      </w:pPr>
      <w:r>
        <w:rPr>
          <w:b/>
          <w:sz w:val="26"/>
        </w:rPr>
        <w:t>Documents and Experts</w:t>
      </w:r>
    </w:p>
    <w:p>
      <w:pPr>
        <w:spacing w:after="120"/>
      </w:pPr>
      <w:r>
        <w:rPr>
          <w:b w:val="0"/>
          <w:i w:val="0"/>
          <w:sz w:val="22"/>
        </w:rPr>
        <w:t>We enclose a schedule of the principal documents on which our client relies. Our client intends to rely on expert evidence from a plant engineer as to the cause of the failures. We invite you to agree to the joint instruction of a single expert if liability is not admitted.</w:t>
      </w:r>
    </w:p>
    <w:p>
      <w:pPr>
        <w:spacing w:before="200" w:after="120"/>
      </w:pPr>
      <w:r>
        <w:rPr>
          <w:b/>
          <w:sz w:val="26"/>
        </w:rPr>
        <w:t>Response Required</w:t>
      </w:r>
    </w:p>
    <w:p>
      <w:pPr>
        <w:spacing w:after="120"/>
      </w:pPr>
      <w:r>
        <w:rPr>
          <w:b w:val="0"/>
          <w:i w:val="0"/>
          <w:sz w:val="22"/>
        </w:rPr>
        <w:t>We invite your full response within 28 days, stating whether liability is admitted and, if not, the grounds on which it is denied. If we do not receive a satisfactory response our client reserves the right to issue proceedings without further notice and to rely on this letter on the question of costs.</w:t>
      </w:r>
    </w:p>
    <w:p>
      <w:pPr>
        <w:spacing w:after="120"/>
      </w:pPr>
      <w:r>
        <w:rPr>
          <w:b w:val="0"/>
          <w:i w:val="0"/>
          <w:sz w:val="22"/>
        </w:rPr>
      </w:r>
    </w:p>
    <w:p>
      <w:pPr>
        <w:spacing w:after="120"/>
      </w:pPr>
      <w:r>
        <w:rPr>
          <w:b w:val="0"/>
          <w:i w:val="0"/>
          <w:sz w:val="22"/>
        </w:rPr>
        <w:t>Yours faithfully</w:t>
      </w:r>
    </w:p>
    <w:p>
      <w:pPr>
        <w:spacing w:after="120"/>
      </w:pPr>
      <w:r>
        <w:rPr>
          <w:b w:val="0"/>
          <w:i w:val="0"/>
          <w:sz w:val="22"/>
        </w:rPr>
      </w:r>
    </w:p>
    <w:p>
      <w:pPr>
        <w:spacing w:after="120"/>
      </w:pPr>
      <w:r>
        <w:rPr>
          <w:b/>
          <w:i w:val="0"/>
          <w:sz w:val="22"/>
        </w:rPr>
        <w:t>Whitfield Carter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&amp; Wales (OC# 384217). Authorised and regulated by the Solicitors Regulation Authority.</w:t>
      <w:br/>
      <w:t>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