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sz w:val="30"/>
        </w:rPr>
        <w:t>Whitfield Carter LLP</w:t>
      </w:r>
    </w:p>
    <w:p>
      <w:pPr>
        <w:jc w:val="right"/>
      </w:pPr>
      <w:r>
        <w:rPr>
          <w:color w:val="555555"/>
          <w:sz w:val="16"/>
        </w:rPr>
        <w:t>22 Bishopsgate, London EC2N 4BQ</w:t>
        <w:br/>
        <w:t>DX 138760 Cheapside  |  T +44 (0)20 7946 5500</w:t>
        <w:br/>
        <w:t>www.whitfieldcarter.com</w:t>
      </w:r>
    </w:p>
    <w:p>
      <w:pPr>
        <w:spacing w:after="40"/>
      </w:pPr>
      <w:r>
        <w:rPr>
          <w:color w:val="888888"/>
          <w:sz w:val="14"/>
        </w:rPr>
        <w:t>____________________________________________________________________________________________</w:t>
      </w:r>
    </w:p>
    <w:p>
      <w:pPr>
        <w:spacing w:after="120"/>
      </w:pPr>
      <w:r>
        <w:rPr>
          <w:b/>
          <w:i w:val="0"/>
          <w:sz w:val="18"/>
        </w:rPr>
        <w:t>WITHOUT PREJUDICE SAVE AS TO COSTS</w:t>
      </w:r>
    </w:p>
    <w:p>
      <w:pPr>
        <w:spacing w:after="120"/>
      </w:pPr>
      <w:r>
        <w:rPr>
          <w:b/>
          <w:i w:val="0"/>
          <w:sz w:val="18"/>
        </w:rPr>
        <w:t>OFFER UNDER PART 36 OF THE CIVIL PROCEDURE RULES</w:t>
      </w:r>
    </w:p>
    <w:p>
      <w:pPr>
        <w:spacing w:after="120"/>
      </w:pPr>
      <w:r>
        <w:rPr>
          <w:b w:val="0"/>
          <w:i w:val="0"/>
          <w:sz w:val="22"/>
        </w:rPr>
        <w:t>By email</w:t>
      </w:r>
    </w:p>
    <w:p>
      <w:pPr>
        <w:spacing w:after="120"/>
      </w:pPr>
      <w:r>
        <w:rPr>
          <w:b w:val="0"/>
          <w:i w:val="0"/>
          <w:sz w:val="22"/>
        </w:rPr>
        <w:t>Pemberton Rowe LLP</w:t>
      </w:r>
    </w:p>
    <w:p>
      <w:pPr>
        <w:spacing w:after="120"/>
      </w:pPr>
      <w:r>
        <w:rPr>
          <w:b w:val="0"/>
          <w:i w:val="0"/>
          <w:sz w:val="22"/>
        </w:rPr>
        <w:t>FAO Alistair Whitlock</w:t>
      </w:r>
    </w:p>
    <w:p>
      <w:pPr>
        <w:spacing w:after="120"/>
      </w:pPr>
      <w:r>
        <w:rPr>
          <w:b w:val="0"/>
          <w:i w:val="0"/>
          <w:sz w:val="22"/>
        </w:rPr>
      </w:r>
    </w:p>
    <w:p>
      <w:pPr>
        <w:spacing w:after="120"/>
      </w:pPr>
      <w:r>
        <w:rPr>
          <w:b w:val="0"/>
          <w:i w:val="0"/>
          <w:sz w:val="18"/>
        </w:rPr>
        <w:t>Our ref: TG/WC-00182/MARLD-01</w:t>
      </w:r>
    </w:p>
    <w:p>
      <w:pPr>
        <w:spacing w:after="120"/>
      </w:pPr>
      <w:r>
        <w:rPr>
          <w:b w:val="0"/>
          <w:i w:val="0"/>
          <w:sz w:val="22"/>
        </w:rPr>
        <w:t>8 July 2025</w:t>
      </w:r>
    </w:p>
    <w:p>
      <w:pPr>
        <w:spacing w:after="120"/>
      </w:pPr>
      <w:r>
        <w:rPr>
          <w:b w:val="0"/>
          <w:i w:val="0"/>
          <w:sz w:val="22"/>
        </w:rPr>
        <w:t>Dear Sirs</w:t>
      </w:r>
    </w:p>
    <w:p>
      <w:pPr>
        <w:spacing w:after="120"/>
      </w:pPr>
      <w:r>
        <w:rPr>
          <w:b/>
          <w:i w:val="0"/>
          <w:sz w:val="22"/>
        </w:rPr>
        <w:t>Marldale Aggregates Limited v Crayford Plant Engineering Limited – Claim No. BL-2025-LDS-000241</w:t>
      </w:r>
    </w:p>
    <w:p>
      <w:pPr>
        <w:spacing w:after="120"/>
      </w:pPr>
      <w:r>
        <w:rPr>
          <w:b w:val="0"/>
          <w:i w:val="0"/>
          <w:sz w:val="22"/>
        </w:rPr>
        <w:t>We are instructed to make the following offer, which is intended to have the consequences of Part 36 of the Civil Procedure Rules.</w:t>
      </w:r>
    </w:p>
    <w:p>
      <w:pPr>
        <w:spacing w:after="120"/>
      </w:pPr>
      <w:r>
        <w:rPr>
          <w:b/>
        </w:rPr>
        <w:t>1.</w:t>
        <w:tab/>
      </w:r>
      <w:r>
        <w:t>Our client offers to settle the whole of the proceedings, comprising both its claim and your client's counterclaim, on the basis that your client pays our client the sum of £950,000 (nine hundred and fifty thousand pounds) inclusive of interest to the date of this offer.</w:t>
      </w:r>
    </w:p>
    <w:p>
      <w:pPr>
        <w:spacing w:after="120"/>
      </w:pPr>
      <w:r>
        <w:rPr>
          <w:b/>
        </w:rPr>
        <w:t>2.</w:t>
        <w:tab/>
      </w:r>
      <w:r>
        <w:t>This offer is made pursuant to Part 36 and is open for acceptance for a period of 21 days from the date of this letter (“the relevant period”), after which it may only be accepted on terms as to costs to be agreed or determined by the Court.</w:t>
      </w:r>
    </w:p>
    <w:p>
      <w:pPr>
        <w:spacing w:after="120"/>
      </w:pPr>
      <w:r>
        <w:rPr>
          <w:b/>
        </w:rPr>
        <w:t>3.</w:t>
        <w:tab/>
      </w:r>
      <w:r>
        <w:t>If this offer is accepted within the relevant period our client will be entitled to its costs of the proceedings up to the date on which notice of acceptance is served, to be assessed on the standard basis if not agreed.</w:t>
      </w:r>
    </w:p>
    <w:p>
      <w:pPr>
        <w:spacing w:after="120"/>
      </w:pPr>
      <w:r>
        <w:rPr>
          <w:b/>
        </w:rPr>
        <w:t>4.</w:t>
        <w:tab/>
      </w:r>
      <w:r>
        <w:t>The sum offered is inclusive of the £142,500 retention claimed by way of counterclaim, which our client maintains it was entitled to withhold. Acceptance will compromise that counterclaim in full.</w:t>
      </w:r>
    </w:p>
    <w:p>
      <w:pPr>
        <w:spacing w:after="120"/>
      </w:pPr>
      <w:r>
        <w:rPr>
          <w:b/>
        </w:rPr>
        <w:t>5.</w:t>
        <w:tab/>
      </w:r>
      <w:r>
        <w:t>This offer takes into account the matters set out in our Letter of Claim and the Particulars of Claim and is made on a commercial basis without any admission. If it is not accepted our client will rely on it on the question of costs and will seek the enhanced consequences provided for by CPR 36.17.</w:t>
      </w:r>
    </w:p>
    <w:p>
      <w:pPr>
        <w:spacing w:after="120"/>
      </w:pPr>
      <w:r>
        <w:rPr>
          <w:b w:val="0"/>
          <w:i w:val="0"/>
          <w:sz w:val="22"/>
        </w:rPr>
        <w:t>We look forward to hearing from you.</w:t>
      </w:r>
    </w:p>
    <w:p>
      <w:pPr>
        <w:spacing w:after="120"/>
      </w:pPr>
      <w:r>
        <w:rPr>
          <w:b w:val="0"/>
          <w:i w:val="0"/>
          <w:sz w:val="22"/>
        </w:rPr>
        <w:t>Yours faithfully</w:t>
      </w:r>
    </w:p>
    <w:p>
      <w:pPr>
        <w:spacing w:after="120"/>
      </w:pPr>
      <w:r>
        <w:rPr>
          <w:b w:val="0"/>
          <w:i w:val="0"/>
          <w:sz w:val="22"/>
        </w:rPr>
      </w:r>
    </w:p>
    <w:p>
      <w:pPr>
        <w:spacing w:after="120"/>
      </w:pPr>
      <w:r>
        <w:rPr>
          <w:b/>
          <w:i w:val="0"/>
          <w:sz w:val="22"/>
        </w:rPr>
        <w:t>Whitfield Carter LLP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4"/>
      </w:rPr>
      <w:t>Whitfield Carter LLP is a limited liability partnership registered in England &amp; Wales (OC# 384217). Authorised and regulated by the Solicitors Regulation Authority.</w:t>
      <w:br/>
      <w:t>Confidential and may be legally privileged.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