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Maybrook Aggregates Limited v Helmsworth Plant Hire Limited</w:t>
      </w:r>
    </w:p>
    <w:p>
      <w:pPr>
        <w:spacing w:after="0"/>
      </w:pPr>
      <w:r>
        <w:rPr>
          <w:b/>
          <w:bCs/>
        </w:rPr>
        <w:t xml:space="preserve">Claim No. HT-2026-000142 – CHRONOLOGY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Prepared by Whitfield Carter LLP – for internal use and disclosure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Feb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Helmsworth written quotation and technical data sheet issued (throughput 320 t/h; “fit for continuous quarry duty”).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Mar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 Hire and Supply Agreement signed. Hire £18,500/month; 36-month term.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Mar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HelmCrush HC-450 (HC450-2231) delivered and commissioned at Aldforth quarry.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Apr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jaw-crusher toggle bearing fails. Plant out of service 9 working days.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May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Maybrook reports failure pattern to Helmsworth; demands inspection.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May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screen deck cracks. Stoppage 11 working days.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Jun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Helmsworth offers replacement screen unit free of charge (later disputed).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Jun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 drive bearing seizes. Stoppage 14 working days.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Jul – 21 Aug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Jaw crusher main-shaft bearing catastrophic failure; crusher assembly replaced. Out of service 25 working days.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Sep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Maybrook notifies Helmsworth of intention to claim; production losses crystallise (~£1.42m).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Oct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Whitfield Carter engaged.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Nov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of Claim (Pre-Action Protocol) sent to Helmsworth.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Dec 2025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Helmsworth’s Protocol response received (liability denied; misuse alleged).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Jan 2026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Particulars of Claim issued in the TCC (Claim No. HT-2026-000142).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Feb 2026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Defence served.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served.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Apr 2026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Expert report of D. Penrith served (single joint expert direction pending).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May 2026</w:t>
            </w:r>
          </w:p>
        </w:tc>
        <w:tc>
          <w:tcPr>
            <w:tcW w:type="dxa" w:w="7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Management Conference; directions and trial window set.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4"/>
        <w:szCs w:val="14"/>
      </w:rPr>
      <w:t xml:space="preserve">Whitfield Carter LLP is a limited liability partnership registered in England and Wales (OC382214). Confidential and may be legally privileged.</w:t>
    </w:r>
  </w:p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108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2026-06-30T16:50:48.063Z</dcterms:created>
  <dcterms:modified xsi:type="dcterms:W3CDTF">2026-06-30T16:50:48.063Z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