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rPr>
        <w:t xml:space="preserve">IN THE HIGH COURT OF JUSTICE</w:t>
      </w:r>
    </w:p>
    <w:p>
      <w:pPr>
        <w:spacing w:after="0"/>
      </w:pPr>
      <w:r>
        <w:rPr>
          <w:b/>
          <w:bCs/>
        </w:rPr>
        <w:t xml:space="preserve">BUSINESS AND PROPERTY COURTS OF ENGLAND AND WALES</w:t>
      </w:r>
    </w:p>
    <w:p>
      <w:pPr>
        <w:spacing w:after="0"/>
      </w:pPr>
      <w:r>
        <w:rPr>
          <w:b/>
          <w:bCs/>
        </w:rPr>
        <w:t xml:space="preserve">TECHNOLOGY AND CONSTRUCTION COURT (KBD)</w:t>
      </w:r>
    </w:p>
    <w:p>
      <w:pPr>
        <w:spacing w:after="200"/>
      </w:pPr>
      <w:r>
        <w:t xml:space="preserve">Claim No. HT-2026-000142</w:t>
      </w:r>
    </w:p>
    <w:p>
      <w:pPr>
        <w:spacing w:after="120"/>
      </w:pPr>
      <w:r>
        <w:rPr>
          <w:b/>
          <w:bCs/>
        </w:rPr>
        <w:t xml:space="preserve">B E T W E E N:</w:t>
      </w:r>
    </w:p>
    <w:p>
      <w:pPr>
        <w:spacing w:after="0"/>
        <w:jc w:val="center"/>
      </w:pPr>
      <w:r>
        <w:rPr>
          <w:b/>
          <w:bCs/>
        </w:rPr>
        <w:t xml:space="preserve">MAYBROOK AGGREGATES LIMITED</w:t>
      </w:r>
    </w:p>
    <w:p>
      <w:pPr>
        <w:spacing w:after="80"/>
        <w:jc w:val="right"/>
      </w:pPr>
      <w:r>
        <w:t xml:space="preserve">Claimant</w:t>
      </w:r>
    </w:p>
    <w:p>
      <w:pPr>
        <w:spacing w:after="80"/>
        <w:jc w:val="center"/>
      </w:pPr>
      <w:r>
        <w:t xml:space="preserve">- and -</w:t>
      </w:r>
    </w:p>
    <w:p>
      <w:pPr>
        <w:spacing w:after="0"/>
        <w:jc w:val="center"/>
      </w:pPr>
      <w:r>
        <w:rPr>
          <w:b/>
          <w:bCs/>
        </w:rPr>
        <w:t xml:space="preserve">HELMSWORTH PLANT HIRE LIMITED</w:t>
      </w:r>
    </w:p>
    <w:p>
      <w:pPr>
        <w:spacing w:after="200"/>
        <w:jc w:val="right"/>
      </w:pPr>
      <w:r>
        <w:t xml:space="preserve">Defendant</w:t>
      </w:r>
    </w:p>
    <w:p>
      <w:pPr>
        <w:pBdr>
          <w:top w:val="single" w:color="000000" w:sz="6"/>
          <w:bottom w:val="single" w:color="000000" w:sz="6"/>
        </w:pBdr>
        <w:spacing w:after="120" w:before="120"/>
        <w:jc w:val="center"/>
      </w:pPr>
      <w:r>
        <w:rPr>
          <w:b/>
          <w:bCs/>
          <w:sz w:val="26"/>
          <w:szCs w:val="26"/>
        </w:rPr>
        <w:t xml:space="preserve">DEFENCE</w:t>
      </w:r>
    </w:p>
    <w:p>
      <w:pPr>
        <w:pStyle w:val="ListParagraph"/>
        <w:numPr>
          <w:ilvl w:val="0"/>
          <w:numId w:val="2"/>
        </w:numPr>
        <w:spacing w:after="120"/>
      </w:pPr>
      <w:r>
        <w:t xml:space="preserve">Paragraphs 1 to 3 of the Particulars of Claim are admitted. The Defendant admits the existence of the Agreement dated 14 March 2025 on the terms there pleaded, save as set out below.</w:t>
      </w:r>
    </w:p>
    <w:p>
      <w:pPr>
        <w:pStyle w:val="ListParagraph"/>
        <w:numPr>
          <w:ilvl w:val="0"/>
          <w:numId w:val="2"/>
        </w:numPr>
        <w:spacing w:after="120"/>
      </w:pPr>
      <w:r>
        <w:t xml:space="preserve">As to paragraph 4, it is admitted that clauses 7.1 and 9.1 were terms of the Agreement in the terms pleaded. It is denied that clause 7.3 imposed an unqualified guarantee of throughput. On its true construction clause 7.3 provided that the Plant was “capable of” 320 tonnes per hour under standard test conditions with correctly graded feed material, and was not a warranty of sustained throughput in all operating conditions.</w:t>
      </w:r>
    </w:p>
    <w:p>
      <w:pPr>
        <w:pStyle w:val="ListParagraph"/>
        <w:numPr>
          <w:ilvl w:val="0"/>
          <w:numId w:val="2"/>
        </w:numPr>
        <w:spacing w:after="120"/>
      </w:pPr>
      <w:r>
        <w:t xml:space="preserve">As to paragraph 6, it is denied that the Representations were false. The Plant was capable of the stated throughput. To the extent any throughput shortfall occurred, it was caused by the Claimant feeding oversized and contaminated material into the Plant contrary to the operating manual, and by the Claimant’s failure to carry out daily operator maintenance.</w:t>
      </w:r>
    </w:p>
    <w:p>
      <w:pPr>
        <w:pStyle w:val="ListParagraph"/>
        <w:numPr>
          <w:ilvl w:val="0"/>
          <w:numId w:val="2"/>
        </w:numPr>
        <w:spacing w:after="120"/>
      </w:pPr>
      <w:r>
        <w:t xml:space="preserve">As to the Particulars of Breach at paragraphs 9 to 14:</w:t>
      </w:r>
    </w:p>
    <w:p>
      <w:pPr>
        <w:pStyle w:val="ListParagraph"/>
        <w:numPr>
          <w:ilvl w:val="1"/>
          <w:numId w:val="2"/>
        </w:numPr>
        <w:spacing w:after="120"/>
      </w:pPr>
      <w:r>
        <w:t xml:space="preserve">the failures of 22 April, 19 May and 24 June 2025 are admitted as to their occurrence, but it is denied that they were caused by any defect in the Plant. They were caused by the Claimant’s misuse of the Plant, in particular feeding un-scalped material containing tramp metal and oversized boulders exceeding the 650mm maximum feed size specified in the operating manual;</w:t>
      </w:r>
    </w:p>
    <w:p>
      <w:pPr>
        <w:pStyle w:val="ListParagraph"/>
        <w:numPr>
          <w:ilvl w:val="1"/>
          <w:numId w:val="2"/>
        </w:numPr>
        <w:spacing w:after="120"/>
      </w:pPr>
      <w:r>
        <w:t xml:space="preserve">as to the failure between 28 July and 21 August 2025, it is admitted that the main-shaft bearing failed but it is averred that this was the direct consequence of the earlier misuse and of the Claimant’s operators continuing to run the Plant after warning alarms had activated;</w:t>
      </w:r>
    </w:p>
    <w:p>
      <w:pPr>
        <w:pStyle w:val="ListParagraph"/>
        <w:numPr>
          <w:ilvl w:val="1"/>
          <w:numId w:val="2"/>
        </w:numPr>
        <w:spacing w:after="120"/>
      </w:pPr>
      <w:r>
        <w:t xml:space="preserve">it is denied that the Plant, when properly operated, failed to achieve the stated throughput;</w:t>
      </w:r>
    </w:p>
    <w:p>
      <w:pPr>
        <w:pStyle w:val="ListParagraph"/>
        <w:numPr>
          <w:ilvl w:val="1"/>
          <w:numId w:val="2"/>
        </w:numPr>
        <w:spacing w:after="120"/>
      </w:pPr>
      <w:r>
        <w:t xml:space="preserve">as to clause 9.1, it is admitted that on two occasions attendance exceeded 24 hours, but it is averred that this was because the Claimant failed to make the Plant safely accessible and on one occasion refused site entry to the Defendant’s engineer.</w:t>
      </w:r>
    </w:p>
    <w:p>
      <w:pPr>
        <w:pStyle w:val="ListParagraph"/>
        <w:numPr>
          <w:ilvl w:val="0"/>
          <w:numId w:val="2"/>
        </w:numPr>
        <w:spacing w:after="120"/>
      </w:pPr>
      <w:r>
        <w:t xml:space="preserve">It is denied that the Defendant is liable to the Claimant as alleged or at all. Further or alternatively, the Claimant failed to mitigate its loss in that it declined the Defendant’s offer on 2 June 2025 to supply a replacement screen unit free of charge and delayed in reporting the April failure for 4 days.</w:t>
      </w:r>
    </w:p>
    <w:p>
      <w:pPr>
        <w:pStyle w:val="ListParagraph"/>
        <w:numPr>
          <w:ilvl w:val="0"/>
          <w:numId w:val="2"/>
        </w:numPr>
        <w:spacing w:after="120"/>
      </w:pPr>
      <w:r>
        <w:t xml:space="preserve">As to the Particulars of Loss and Damage at paragraphs 16 to 20, each item is not admitted and the Claimant is put to strict proof. In particular: the replacement hire cost is excessive and could have been procured for no more than £260,000; the claim for lost profit is denied as too remote and in any event the margins claimed are not admitted; and the emergency repair costs include items of routine operator maintenance for which the Claimant was responsible under clause 9.4.</w:t>
      </w:r>
    </w:p>
    <w:p>
      <w:pPr>
        <w:pStyle w:val="ListParagraph"/>
        <w:numPr>
          <w:ilvl w:val="0"/>
          <w:numId w:val="2"/>
        </w:numPr>
        <w:spacing w:after="120"/>
      </w:pPr>
      <w:r>
        <w:t xml:space="preserve">Save as expressly admitted, each and every allegation in the Particulars of Claim is denied as if set out and traversed seriatim.</w:t>
      </w:r>
    </w:p>
    <w:p>
      <w:pPr>
        <w:pStyle w:val="ListParagraph"/>
        <w:numPr>
          <w:ilvl w:val="0"/>
          <w:numId w:val="2"/>
        </w:numPr>
        <w:spacing w:after="120"/>
      </w:pPr>
      <w:r>
        <w:t xml:space="preserve">In so far as the Defendant is found liable, it relies upon the limitation of liability in clause 14.2 of the Agreement, which limits the Defendant’s aggregate liability to the total hire charges paid under the Agreement in the 12 months preceding the claim, namely £222,000, and excludes liability for loss of profit.</w:t>
      </w:r>
    </w:p>
    <w:p>
      <w:pPr>
        <w:spacing w:after="80" w:before="200"/>
      </w:pPr>
      <w:r>
        <w:rPr>
          <w:b/>
          <w:bCs/>
        </w:rPr>
        <w:t xml:space="preserve">STATEMENT OF TRUTH</w:t>
      </w:r>
    </w:p>
    <w:p>
      <w:pPr>
        <w:spacing w:after="160"/>
      </w:pPr>
      <w:r>
        <w:t xml:space="preserve">The Defendant believes that the facts stated in this Defence are true. I am duly authorised by the Defendant to sign this statement.</w:t>
      </w:r>
    </w:p>
    <w:p>
      <w:pPr>
        <w:spacing w:after="160"/>
      </w:pPr>
      <w:r>
        <w:t xml:space="preserve">Signed: ______________________  Name: Trevor Helmsworth  Position: Managing Director</w:t>
      </w:r>
    </w:p>
    <w:p>
      <w:pPr>
        <w:spacing w:after="160"/>
      </w:pPr>
      <w:r>
        <w:t xml:space="preserve">Dated this 19th day of February 2026.</w:t>
      </w:r>
    </w:p>
    <w:p>
      <w:pPr>
        <w:spacing w:after="120"/>
      </w:pPr>
      <w:r>
        <w:rPr>
          <w:sz w:val="18"/>
          <w:szCs w:val="18"/>
        </w:rPr>
        <w:t xml:space="preserve">Pemberton Rowe LLP – Solicitors for the Defendant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4"/>
        <w:szCs w:val="14"/>
      </w:rPr>
      <w:t xml:space="preserve">Whitfield Carter LLP is a limited liability partnership registered in England and Wales (OC382214). Confidential and may be legally privileged.</w:t>
    </w:r>
  </w:p>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2026-06-30T16:50:48.032Z</dcterms:created>
  <dcterms:modified xsi:type="dcterms:W3CDTF">2026-06-30T16:50:48.032Z</dcterms:modified>
</cp:coreProperties>
</file>

<file path=docProps/custom.xml><?xml version="1.0" encoding="utf-8"?>
<Properties xmlns="http://schemas.openxmlformats.org/officeDocument/2006/custom-properties" xmlns:vt="http://schemas.openxmlformats.org/officeDocument/2006/docPropsVTypes"/>
</file>