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0"/>
        <w:jc w:val="right"/>
      </w:pPr>
      <w:r>
        <w:rPr>
          <w:sz w:val="18"/>
          <w:szCs w:val="18"/>
        </w:rPr>
        <w:t xml:space="preserve">DX 178632 Bishopsgate  |  T +44 (0)20 7946 0500</w:t>
      </w:r>
    </w:p>
    <w:p>
      <w:pPr>
        <w:spacing w:after="120"/>
        <w:jc w:val="right"/>
      </w:pPr>
      <w:r>
        <w:rPr>
          <w:sz w:val="18"/>
          <w:szCs w:val="18"/>
        </w:rPr>
        <w:t xml:space="preserve">www.whitfieldcarter.com</w:t>
      </w:r>
    </w:p>
    <w:p>
      <w:pPr>
        <w:pBdr>
          <w:bottom w:val="single" w:color="1F3864" w:sz="6" w:space="1"/>
        </w:pBdr>
        <w:spacing w:after="200"/>
      </w:pPr>
    </w:p>
    <w:p>
      <w:pPr>
        <w:spacing w:after="200"/>
      </w:pPr>
      <w:r>
        <w:rPr>
          <w:b/>
          <w:bCs/>
          <w:i/>
          <w:iCs/>
        </w:rPr>
        <w:t xml:space="preserve">Strictly private and confidential</w:t>
      </w:r>
    </w:p>
    <w:p>
      <w:pPr>
        <w:spacing w:after="120"/>
      </w:pPr>
      <w:r>
        <w:t xml:space="preserve">Mr Geoffrey Maybrook</w:t>
      </w:r>
    </w:p>
    <w:p>
      <w:pPr>
        <w:spacing w:after="120"/>
      </w:pPr>
      <w:r>
        <w:t xml:space="preserve">Managing Director</w:t>
      </w:r>
    </w:p>
    <w:p>
      <w:pPr>
        <w:spacing w:after="120"/>
      </w:pPr>
      <w:r>
        <w:t xml:space="preserve">Maybrook Aggregates Limited</w:t>
      </w:r>
    </w:p>
    <w:p>
      <w:pPr>
        <w:spacing w:after="200"/>
      </w:pPr>
      <w:r>
        <w:t xml:space="preserve">Quarry Lane, Aldforth, North Yorkshire HG5 9PT</w:t>
      </w:r>
    </w:p>
    <w:p>
      <w:pPr>
        <w:spacing w:after="200"/>
      </w:pPr>
      <w:r>
        <w:t xml:space="preserve">9 October 2025</w:t>
      </w:r>
    </w:p>
    <w:p>
      <w:pPr>
        <w:spacing w:after="160"/>
      </w:pPr>
      <w:r>
        <w:t xml:space="preserve">Dear Geoffrey</w:t>
      </w:r>
    </w:p>
    <w:p>
      <w:pPr>
        <w:spacing w:after="160"/>
      </w:pPr>
      <w:r>
        <w:rPr>
          <w:b/>
          <w:bCs/>
        </w:rPr>
        <w:t xml:space="preserve">Re: Dispute with Helmsworth Plant Hire Limited – HelmCrush HC-450 mobile crushing and screening plant (our ref: WC-00196 / TG)</w:t>
      </w:r>
    </w:p>
    <w:p>
      <w:pPr>
        <w:spacing w:after="120"/>
      </w:pPr>
      <w:r>
        <w:t xml:space="preserve">Thank you for instructing Whitfield Carter LLP in connection with your dispute with Helmsworth Plant Hire Limited (“Helmsworth”) arising out of the supply and hire of the HelmCrush HC-450 mobile crushing and screening plant (the “Plant”) under your Plant Hire and Supply Agreement dated 14 March 2025 (the “Agreement”). This letter, together with our enclosed standard terms of business, sets out the basis on which we will act for you.</w:t>
      </w:r>
    </w:p>
    <w:p>
      <w:pPr>
        <w:pStyle w:val="Heading2"/>
      </w:pPr>
      <w:r>
        <w:t xml:space="preserve">1. Scope of our engagement</w:t>
      </w:r>
    </w:p>
    <w:p>
      <w:pPr>
        <w:spacing w:after="120"/>
      </w:pPr>
      <w:r>
        <w:t xml:space="preserve">We are instructed to advise Maybrook Aggregates Limited (“Maybrook” or “you”) on its claims against Helmsworth for breach of contract and misrepresentation in respect of the Plant, and to pursue recovery of the losses you have suffered as a result of the repeated failures of the Plant between April and August 2025. Our initial scope covers reviewing the contractual documentation and correspondence, advising on the merits and quantum of the claim, preparing and sending a letter of claim under the Pre-Action Protocol for Construction and Engineering Disputes, and advising on the conduct of any proceedings in the Technology and Construction Court.</w:t>
      </w:r>
    </w:p>
    <w:p>
      <w:pPr>
        <w:pStyle w:val="Heading2"/>
      </w:pPr>
      <w:r>
        <w:t xml:space="preserve">2. The team</w:t>
      </w:r>
    </w:p>
    <w:p>
      <w:pPr>
        <w:spacing w:after="120"/>
      </w:pPr>
      <w:r>
        <w:t xml:space="preserve">The matter will be led by Sarah Whitfield, Partner, with day-to-day conduct by Tom Gallagher, Associate. Sarah has overall supervisory responsibility. Where appropriate we will instruct counsel from Eldon Chambers and an independent plant engineering expert.</w:t>
      </w:r>
    </w:p>
    <w:p>
      <w:pPr>
        <w:pStyle w:val="Heading2"/>
      </w:pPr>
      <w:r>
        <w:t xml:space="preserve">3. Our fees</w:t>
      </w:r>
    </w:p>
    <w:p>
      <w:pPr>
        <w:spacing w:after="120"/>
      </w:pPr>
      <w:r>
        <w:t xml:space="preserve">Our work will be charged on a time basis at the following hourly rates (exclusive of VAT): Sarah Whitfield (Partner) – £595; Tom Gallagher (Associate) – £340; trainee/paralegal – £175. We estimate our fees to the conclusion of the pre-action stage (including the letter of claim and review of any response) at between £18,000 and £24,000 plus VAT and disbursements. We will provide a further estimate before any proceedings are issued. Disbursements will include counsel’s fees, expert’s fees and court fees (the issue fee on a claim of this value is £10,000).</w:t>
      </w:r>
    </w:p>
    <w:p>
      <w:pPr>
        <w:pStyle w:val="Heading2"/>
      </w:pPr>
      <w:r>
        <w:t xml:space="preserve">4. Funding and costs</w:t>
      </w:r>
    </w:p>
    <w:p>
      <w:pPr>
        <w:spacing w:after="120"/>
      </w:pPr>
      <w:r>
        <w:t xml:space="preserve">Litigation costs are not fully recoverable even if you succeed; the general rule is that the unsuccessful party pays the successful party’s costs, but recovery is usually limited to around 60–70% of costs actually incurred on the standard basis. We have discussed the availability of after-the-event insurance and you have asked us to obtain an indicative quotation.</w:t>
      </w:r>
    </w:p>
    <w:p>
      <w:pPr>
        <w:pStyle w:val="Heading2"/>
      </w:pPr>
      <w:r>
        <w:t xml:space="preserve">5. Client identification and money laundering</w:t>
      </w:r>
    </w:p>
    <w:p>
      <w:pPr>
        <w:spacing w:after="120"/>
      </w:pPr>
      <w:r>
        <w:t xml:space="preserve">We are required to verify your identity and that of the company. We confirm we have received certified copies of the company’s certificate of incorporation and identification for you as a director, and our client due diligence is complete.</w:t>
      </w:r>
    </w:p>
    <w:p>
      <w:pPr>
        <w:pStyle w:val="Heading2"/>
      </w:pPr>
      <w:r>
        <w:t xml:space="preserve">6. Complaints and regulatory information</w:t>
      </w:r>
    </w:p>
    <w:p>
      <w:pPr>
        <w:spacing w:after="120"/>
      </w:pPr>
      <w:r>
        <w:t xml:space="preserve">Whitfield Carter LLP is authorised and regulated by the Solicitors Regulation Authority (SRA number 561102). If at any time you are unhappy with our service you may raise the matter with Sarah Whitfield, and you have the right to complain to the Legal Ombudsman.</w:t>
      </w:r>
    </w:p>
    <w:p>
      <w:pPr>
        <w:spacing w:after="200"/>
      </w:pPr>
      <w:r>
        <w:t xml:space="preserve">Please confirm your agreement to the terms of this letter and the enclosed terms of business by signing and returning the enclosed copy. We look forward to working with you.</w:t>
      </w:r>
    </w:p>
    <w:p>
      <w:pPr>
        <w:spacing w:after="240"/>
      </w:pPr>
      <w:r>
        <w:t xml:space="preserve">Yours sincerely</w:t>
      </w:r>
    </w:p>
    <w:p>
      <w:pPr>
        <w:spacing w:after="0"/>
      </w:pPr>
      <w:r>
        <w:rPr>
          <w:b/>
          <w:bCs/>
        </w:rPr>
        <w:t xml:space="preserve">Sarah Whitfield</w:t>
      </w:r>
    </w:p>
    <w:p>
      <w:pPr>
        <w:spacing w:after="120"/>
      </w:pPr>
      <w:r>
        <w:t xml:space="preserve">Partner</w:t>
      </w:r>
    </w:p>
    <w:p>
      <w:pPr>
        <w:spacing w:after="0"/>
      </w:pPr>
      <w:r>
        <w:t xml:space="preserve">Whitfield Carter LLP</w:t>
      </w:r>
    </w:p>
    <w:p>
      <w:pPr>
        <w:spacing w:after="200"/>
      </w:pPr>
      <w:r>
        <w:t xml:space="preserve">sarah.whitfield@whitfieldcarter.com</w:t>
      </w:r>
    </w:p>
    <w:p>
      <w:pPr>
        <w:spacing w:after="120"/>
      </w:pPr>
      <w:r>
        <w:t xml:space="preserve">Enc: Terms of business; copy of this letter for signature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2026-06-30T16:50:47.932Z</dcterms:created>
  <dcterms:modified xsi:type="dcterms:W3CDTF">2026-06-30T16:50:47.935Z</dcterms:modified>
</cp:coreProperties>
</file>

<file path=docProps/custom.xml><?xml version="1.0" encoding="utf-8"?>
<Properties xmlns="http://schemas.openxmlformats.org/officeDocument/2006/custom-properties" xmlns:vt="http://schemas.openxmlformats.org/officeDocument/2006/docPropsVTypes"/>
</file>