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6"/>
          <w:szCs w:val="26"/>
        </w:rPr>
        <w:t xml:space="preserve">Whitfield Carter LLP</w:t>
      </w:r>
    </w:p>
    <w:p>
      <w:pPr>
        <w:spacing w:after="0"/>
        <w:jc w:val="right"/>
      </w:pPr>
      <w:r>
        <w:rPr>
          <w:sz w:val="18"/>
          <w:szCs w:val="18"/>
        </w:rPr>
        <w:t xml:space="preserve">22 Bishopsgate, London EC2N 4BQ</w:t>
      </w:r>
    </w:p>
    <w:p>
      <w:pPr>
        <w:spacing w:after="0"/>
        <w:jc w:val="right"/>
      </w:pPr>
      <w:r>
        <w:rPr>
          <w:sz w:val="18"/>
          <w:szCs w:val="18"/>
        </w:rPr>
        <w:t xml:space="preserve">DX 178632 Bishopsgate  |  T +44 (0)20 7946 0500</w:t>
      </w:r>
    </w:p>
    <w:p>
      <w:pPr>
        <w:spacing w:after="120"/>
        <w:jc w:val="right"/>
      </w:pPr>
      <w:r>
        <w:rPr>
          <w:sz w:val="18"/>
          <w:szCs w:val="18"/>
        </w:rPr>
        <w:t xml:space="preserve">www.whitfieldcarter.com</w:t>
      </w:r>
    </w:p>
    <w:p>
      <w:pPr>
        <w:pBdr>
          <w:bottom w:val="single" w:color="1F3864" w:sz="6" w:space="1"/>
        </w:pBdr>
        <w:spacing w:after="200"/>
      </w:pPr>
    </w:p>
    <w:p>
      <w:pPr>
        <w:spacing w:after="0"/>
      </w:pPr>
      <w:r>
        <w:rPr>
          <w:b/>
          <w:bCs/>
        </w:rPr>
        <w:t xml:space="preserve">By email and first class post</w:t>
      </w:r>
    </w:p>
    <w:p>
      <w:pPr>
        <w:spacing w:after="0"/>
      </w:pPr>
      <w:r>
        <w:t xml:space="preserve">The Directors</w:t>
      </w:r>
    </w:p>
    <w:p>
      <w:pPr>
        <w:spacing w:after="0"/>
      </w:pPr>
      <w:r>
        <w:t xml:space="preserve">Helmsworth Plant Hire Limited</w:t>
      </w:r>
    </w:p>
    <w:p>
      <w:pPr>
        <w:spacing w:after="200"/>
      </w:pPr>
      <w:r>
        <w:t xml:space="preserve">Helmsworth Works, Brunton Road, Wakefield WF2 7DR</w:t>
      </w:r>
    </w:p>
    <w:p>
      <w:pPr>
        <w:spacing w:after="160"/>
      </w:pPr>
      <w:r>
        <w:t xml:space="preserve">18 November 2025</w:t>
      </w:r>
    </w:p>
    <w:p>
      <w:pPr>
        <w:spacing w:after="80"/>
      </w:pPr>
      <w:r>
        <w:rPr>
          <w:b/>
          <w:bCs/>
        </w:rPr>
        <w:t xml:space="preserve">LETTER OF CLAIM – PRE-ACTION PROTOCOL FOR CONSTRUCTION AND ENGINEERING DISPUTES</w:t>
      </w:r>
    </w:p>
    <w:p>
      <w:pPr>
        <w:spacing w:after="80"/>
      </w:pPr>
      <w:r>
        <w:rPr>
          <w:b/>
          <w:bCs/>
        </w:rPr>
        <w:t xml:space="preserve">Maybrook Aggregates Limited – v – Helmsworth Plant Hire Limited</w:t>
      </w:r>
    </w:p>
    <w:p>
      <w:pPr>
        <w:spacing w:after="160"/>
      </w:pPr>
      <w:r>
        <w:rPr>
          <w:b/>
          <w:bCs/>
        </w:rPr>
        <w:t xml:space="preserve">HelmCrush HC-450 mobile crushing and screening plant – Agreement dated 14 March 2025</w:t>
      </w:r>
    </w:p>
    <w:p>
      <w:pPr>
        <w:spacing w:after="160"/>
      </w:pPr>
      <w:r>
        <w:t xml:space="preserve">Dear Sirs</w:t>
      </w:r>
    </w:p>
    <w:p>
      <w:pPr>
        <w:spacing w:after="120"/>
      </w:pPr>
      <w:r>
        <w:t xml:space="preserve">We act for Maybrook Aggregates Limited (“our client”). This letter is sent in accordance with the Pre-Action Protocol for Construction and Engineering Disputes. We invite you to treat it as the formal letter of claim.</w:t>
      </w:r>
    </w:p>
    <w:p>
      <w:pPr>
        <w:pStyle w:val="Heading2"/>
      </w:pPr>
      <w:r>
        <w:t xml:space="preserve">The parties and the Agreement</w:t>
      </w:r>
    </w:p>
    <w:p>
      <w:pPr>
        <w:spacing w:after="120"/>
      </w:pPr>
      <w:r>
        <w:t xml:space="preserve">By a Plant Hire and Supply Agreement dated 14 March 2025 (the “Agreement”), your company agreed to supply to our client one HelmCrush HC-450 tracked mobile crushing and screening plant (serial no. HC450-2231) (the “Plant”) on a 36-month contract-hire basis at a hire charge of £18,500 per month, together with a commissioning and maintenance package. The Plant was delivered to our client’s Aldforth quarry on 31 March 2025.</w:t>
      </w:r>
    </w:p>
    <w:p>
      <w:pPr>
        <w:pStyle w:val="Heading2"/>
      </w:pPr>
      <w:r>
        <w:t xml:space="preserve">The representations and contractual terms</w:t>
      </w:r>
    </w:p>
    <w:p>
      <w:pPr>
        <w:spacing w:after="120"/>
      </w:pPr>
      <w:r>
        <w:t xml:space="preserve">In the course of negotiations, and in your written quotation dated 6 February 2025 and your technical data sheet, you represented that the Plant was capable of a sustained throughput of 320 tonnes per hour of 0/63mm crushed limestone aggregate and that it was “fit for continuous quarry duty”. Clause 7.1 of the Agreement provided that the Plant would be of satisfactory quality and fit for the purpose of continuous primary and secondary crushing of quarried limestone, a purpose which had been made known to you. Clause 9 provided for you to maintain the Plant and to attend within 24 hours of any reported breakdown.</w:t>
      </w:r>
    </w:p>
    <w:p>
      <w:pPr>
        <w:pStyle w:val="Heading2"/>
      </w:pPr>
      <w:r>
        <w:t xml:space="preserve">The breaches</w:t>
      </w:r>
    </w:p>
    <w:p>
      <w:pPr>
        <w:spacing w:after="120"/>
      </w:pPr>
      <w:r>
        <w:t xml:space="preserve">In breach of the Agreement and contrary to the representations made, the Plant has been beset by repeated and serious failures since shortly after commissioning:</w:t>
      </w:r>
    </w:p>
    <w:p>
      <w:pPr>
        <w:pStyle w:val="ListParagraph"/>
        <w:numPr>
          <w:ilvl w:val="0"/>
          <w:numId w:val="2"/>
        </w:numPr>
        <w:spacing w:after="80"/>
      </w:pPr>
      <w:r>
        <w:t xml:space="preserve">On 22 April 2025 the primary jaw-crusher toggle bearing failed, taking the Plant out of service for 9 days.</w:t>
      </w:r>
    </w:p>
    <w:p>
      <w:pPr>
        <w:pStyle w:val="ListParagraph"/>
        <w:numPr>
          <w:ilvl w:val="0"/>
          <w:numId w:val="2"/>
        </w:numPr>
        <w:spacing w:after="80"/>
      </w:pPr>
      <w:r>
        <w:t xml:space="preserve">On 19 May 2025 and again on 24 June 2025 the main screen deck cracked and the screen drive bearing seized, each causing further stoppages of 11 and 14 days respectively.</w:t>
      </w:r>
    </w:p>
    <w:p>
      <w:pPr>
        <w:pStyle w:val="ListParagraph"/>
        <w:numPr>
          <w:ilvl w:val="0"/>
          <w:numId w:val="2"/>
        </w:numPr>
        <w:spacing w:after="80"/>
      </w:pPr>
      <w:r>
        <w:t xml:space="preserve">Between 28 July and 21 August 2025 the jaw crusher suffered a catastrophic main-shaft bearing failure; the Plant was out of service for a further 25 days and required the replacement of the crusher assembly.</w:t>
      </w:r>
    </w:p>
    <w:p>
      <w:pPr>
        <w:spacing w:after="120"/>
      </w:pPr>
      <w:r>
        <w:t xml:space="preserve">In total the Plant was out of service for approximately 59 working days (some 11 weeks) during the period April to August 2025. When operating, the Plant never achieved a sustained throughput above approximately 210 tonnes per hour, materially below the 320 tonnes per hour represented.</w:t>
      </w:r>
    </w:p>
    <w:p>
      <w:pPr>
        <w:pStyle w:val="Heading2"/>
      </w:pPr>
      <w:r>
        <w:t xml:space="preserve">Causation and loss</w:t>
      </w:r>
    </w:p>
    <w:p>
      <w:pPr>
        <w:spacing w:after="120"/>
      </w:pPr>
      <w:r>
        <w:t xml:space="preserve">As a direct result of the failures our client was unable to meet its production commitments, incurred the cost of hiring in replacement crushing capacity, paid for emergency repairs which were your responsibility, and lost the profit on aggregate it was unable to produce and sell, including under its supply contract with Halcyon Retail Group’s civils division. Our client’s losses, particularised in the enclosed preliminary schedule, total approximately £1,420,000.</w:t>
      </w:r>
    </w:p>
    <w:p>
      <w:pPr>
        <w:pStyle w:val="Heading2"/>
      </w:pPr>
      <w:r>
        <w:t xml:space="preserve">The claim</w:t>
      </w:r>
    </w:p>
    <w:p>
      <w:pPr>
        <w:spacing w:after="120"/>
      </w:pPr>
      <w:r>
        <w:t xml:space="preserve">Our client claims damages for breach of the express and implied terms of the Agreement and for misrepresentation under section 2(1) of the Misrepresentation Act 1967, together with interest pursuant to section 35A of the Senior Courts Act 1981 and costs.</w:t>
      </w:r>
    </w:p>
    <w:p>
      <w:pPr>
        <w:pStyle w:val="Heading2"/>
      </w:pPr>
      <w:r>
        <w:t xml:space="preserve">Documents and response</w:t>
      </w:r>
    </w:p>
    <w:p>
      <w:pPr>
        <w:spacing w:after="120"/>
      </w:pPr>
      <w:r>
        <w:t xml:space="preserve">We enclose copies of the principal documents on which our client relies. In accordance with the Protocol we invite your full written response within 28 days, identifying which parts of the claim are accepted and which are disputed and the grounds for any dispute, together with the documents on which you rely. We are willing to engage in a Protocol meeting and to consider mediation.</w:t>
      </w:r>
    </w:p>
    <w:p>
      <w:pPr>
        <w:spacing w:after="200"/>
      </w:pPr>
      <w:r>
        <w:t xml:space="preserve">If we do not receive a satisfactory response within the time specified, our client reserves the right to issue proceedings without further notice.</w:t>
      </w:r>
    </w:p>
    <w:p>
      <w:pPr>
        <w:spacing w:after="240"/>
      </w:pPr>
      <w:r>
        <w:t xml:space="preserve">Yours faithfully</w:t>
      </w:r>
    </w:p>
    <w:p>
      <w:pPr>
        <w:spacing w:after="200"/>
      </w:pPr>
      <w:r>
        <w:rPr>
          <w:b/>
          <w:bCs/>
        </w:rPr>
        <w:t xml:space="preserve">Whitfield Carter LLP</w:t>
      </w:r>
    </w:p>
    <w:p>
      <w:pPr>
        <w:spacing w:after="120"/>
      </w:pPr>
      <w:r>
        <w:t xml:space="preserve">Enc: Schedule of the principal documents relied upon; preliminary schedule of loss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Whitfield Carter LLP is a limited liability partnership registered in England and Wales (OC382214).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2026-06-30T16:50:47.989Z</dcterms:created>
  <dcterms:modified xsi:type="dcterms:W3CDTF">2026-06-30T16:50:47.989Z</dcterms:modified>
</cp:coreProperties>
</file>

<file path=docProps/custom.xml><?xml version="1.0" encoding="utf-8"?>
<Properties xmlns="http://schemas.openxmlformats.org/officeDocument/2006/custom-properties" xmlns:vt="http://schemas.openxmlformats.org/officeDocument/2006/docPropsVTypes"/>
</file>