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6"/>
          <w:szCs w:val="26"/>
        </w:rPr>
        <w:t xml:space="preserve">Whitfield Carter LLP</w:t>
      </w:r>
    </w:p>
    <w:p>
      <w:pPr>
        <w:spacing w:after="0"/>
        <w:jc w:val="right"/>
      </w:pPr>
      <w:r>
        <w:rPr>
          <w:sz w:val="18"/>
          <w:szCs w:val="18"/>
        </w:rPr>
        <w:t xml:space="preserve">22 Bishopsgate, London EC2N 4BQ</w:t>
      </w:r>
    </w:p>
    <w:p>
      <w:pPr>
        <w:spacing w:after="0"/>
        <w:jc w:val="right"/>
      </w:pPr>
      <w:r>
        <w:rPr>
          <w:sz w:val="18"/>
          <w:szCs w:val="18"/>
        </w:rPr>
        <w:t xml:space="preserve">DX 178632 Bishopsgate  |  T +44 (0)20 7946 0500</w:t>
      </w:r>
    </w:p>
    <w:p>
      <w:pPr>
        <w:spacing w:after="120"/>
        <w:jc w:val="right"/>
      </w:pPr>
      <w:r>
        <w:rPr>
          <w:sz w:val="18"/>
          <w:szCs w:val="18"/>
        </w:rPr>
        <w:t xml:space="preserve">www.whitfieldcarter.com</w:t>
      </w:r>
    </w:p>
    <w:p>
      <w:pPr>
        <w:pBdr>
          <w:bottom w:val="single" w:color="1F3864" w:sz="6" w:space="1"/>
        </w:pBdr>
        <w:spacing w:after="200"/>
      </w:pPr>
    </w:p>
    <w:p>
      <w:pPr>
        <w:spacing w:after="160"/>
      </w:pPr>
      <w:r>
        <w:rPr>
          <w:b/>
          <w:bCs/>
        </w:rPr>
        <w:t xml:space="preserve">Private and confidential</w:t>
      </w:r>
    </w:p>
    <w:p>
      <w:pPr>
        <w:spacing w:after="120"/>
      </w:pPr>
      <w:r>
        <w:t xml:space="preserve">Mr David Penrith</w:t>
      </w:r>
    </w:p>
    <w:p>
      <w:pPr>
        <w:spacing w:after="120"/>
      </w:pPr>
      <w:r>
        <w:t xml:space="preserve">Penrith Crushing &amp; Screening Consultants Ltd</w:t>
      </w:r>
    </w:p>
    <w:p>
      <w:pPr>
        <w:spacing w:after="160"/>
      </w:pPr>
      <w:r>
        <w:t xml:space="preserve">Unit 12, Calder Business Park, Leeds LS12 6BR</w:t>
      </w:r>
    </w:p>
    <w:p>
      <w:pPr>
        <w:spacing w:after="160"/>
      </w:pPr>
      <w:r>
        <w:t xml:space="preserve">20 March 2026</w:t>
      </w:r>
    </w:p>
    <w:p>
      <w:pPr>
        <w:spacing w:after="120"/>
      </w:pPr>
      <w:r>
        <w:t xml:space="preserve">Dear Mr Penrith</w:t>
      </w:r>
    </w:p>
    <w:p>
      <w:pPr>
        <w:spacing w:after="120"/>
      </w:pPr>
      <w:r>
        <w:rPr>
          <w:b/>
          <w:bCs/>
        </w:rPr>
        <w:t xml:space="preserve">Re: Maybrook Aggregates Limited v Helmsworth Plant Hire Limited – letter of instruction to expert</w:t>
      </w:r>
    </w:p>
    <w:p>
      <w:pPr>
        <w:spacing w:after="120"/>
      </w:pPr>
      <w:r>
        <w:t xml:space="preserve">We act for the Claimant, Maybrook Aggregates Limited, in proceedings in the Technology and Construction Court (Claim No. HT-2026-000142) concerning a HelmCrush HC-450 mobile crushing and screening plant supplied by the Defendant. We instruct you to prepare an expert report on the engineering issues set out below. Your overriding duty is to the Court under CPR Part 35, not to those instructing you.</w:t>
      </w:r>
    </w:p>
    <w:p>
      <w:pPr>
        <w:pStyle w:val="Heading2"/>
      </w:pPr>
      <w:r>
        <w:t xml:space="preserve">Background</w:t>
      </w:r>
    </w:p>
    <w:p>
      <w:pPr>
        <w:spacing w:after="120"/>
      </w:pPr>
      <w:r>
        <w:t xml:space="preserve">The Claimant hired the Plant from the Defendant under an agreement dated 14 March 2025. The Plant suffered a series of failures between April and August 2025 (jaw-crusher toggle bearing, screen deck, screen drive bearing, and a catastrophic jaw-crusher main-shaft bearing failure). The Defendant alleges the failures were caused by the Claimant feeding oversized and contaminated material and ignoring warning alarms. The Claimant’s case is that the failures were caused by inherent defects in the design, build quality or materials of the Plant.</w:t>
      </w:r>
    </w:p>
    <w:p>
      <w:pPr>
        <w:pStyle w:val="Heading2"/>
      </w:pPr>
      <w:r>
        <w:t xml:space="preserve">Your instructions</w:t>
      </w:r>
    </w:p>
    <w:p>
      <w:pPr>
        <w:spacing w:after="120"/>
      </w:pPr>
      <w:r>
        <w:t xml:space="preserve">Having inspected the Plant and the replaced components, and reviewed the maintenance and operating records, the quarry feed and weighbridge records, and the parties’ statements of case, please address the following questions:</w:t>
      </w:r>
    </w:p>
    <w:p>
      <w:pPr>
        <w:pStyle w:val="ListParagraph"/>
        <w:numPr>
          <w:ilvl w:val="0"/>
          <w:numId w:val="2"/>
        </w:numPr>
        <w:spacing w:after="80"/>
      </w:pPr>
      <w:r>
        <w:t xml:space="preserve">What was the cause or causes of each of the four failures (22 April, 19 May, 24 June, and 28 July–21 August 2025)?</w:t>
      </w:r>
    </w:p>
    <w:p>
      <w:pPr>
        <w:pStyle w:val="ListParagraph"/>
        <w:numPr>
          <w:ilvl w:val="0"/>
          <w:numId w:val="2"/>
        </w:numPr>
        <w:spacing w:after="80"/>
      </w:pPr>
      <w:r>
        <w:t xml:space="preserve">Were the failures consistent with inherent defects in the Plant (design, manufacture or materials), or with misuse by the operator (oversized/contaminated feed; ignoring alarms)?</w:t>
      </w:r>
    </w:p>
    <w:p>
      <w:pPr>
        <w:pStyle w:val="ListParagraph"/>
        <w:numPr>
          <w:ilvl w:val="0"/>
          <w:numId w:val="2"/>
        </w:numPr>
        <w:spacing w:after="80"/>
      </w:pPr>
      <w:r>
        <w:t xml:space="preserve">Was the Plant, when operated in accordance with the manual, capable of a sustained throughput of 320 tonnes per hour of 0/63mm limestone? If not, what was its realistic sustained throughput?</w:t>
      </w:r>
    </w:p>
    <w:p>
      <w:pPr>
        <w:pStyle w:val="ListParagraph"/>
        <w:numPr>
          <w:ilvl w:val="0"/>
          <w:numId w:val="2"/>
        </w:numPr>
        <w:spacing w:after="80"/>
      </w:pPr>
      <w:r>
        <w:t xml:space="preserve">Was the Defendant’s response time to reported breakdowns consistent with good industry practice?</w:t>
      </w:r>
    </w:p>
    <w:p>
      <w:pPr>
        <w:spacing w:after="160"/>
      </w:pPr>
      <w:r>
        <w:t xml:space="preserve">Please set out the documents and items you have examined, your reasoning, and any matters on which you are unable to reach a concluded view. We enclose the documents listed in the schedule. Please confirm your availability for a single joint expert direction should the Court so order.</w:t>
      </w:r>
    </w:p>
    <w:p>
      <w:pPr>
        <w:spacing w:after="200"/>
      </w:pPr>
      <w:r>
        <w:t xml:space="preserve">Yours sincerely</w:t>
      </w:r>
    </w:p>
    <w:p>
      <w:pPr>
        <w:spacing w:after="0"/>
      </w:pPr>
      <w:r>
        <w:rPr>
          <w:b/>
          <w:bCs/>
        </w:rPr>
        <w:t xml:space="preserve">Tom Gallagher</w:t>
      </w:r>
    </w:p>
    <w:p>
      <w:pPr>
        <w:spacing w:after="120"/>
      </w:pPr>
      <w:r>
        <w:t xml:space="preserve">Associate, Whitfield Carter LLP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Whitfield Carter LLP is a limited liability partnership registered in England and Wales (OC382214).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2026-06-30T16:50:48.100Z</dcterms:created>
  <dcterms:modified xsi:type="dcterms:W3CDTF">2026-06-30T16:50:48.100Z</dcterms:modified>
</cp:coreProperties>
</file>

<file path=docProps/custom.xml><?xml version="1.0" encoding="utf-8"?>
<Properties xmlns="http://schemas.openxmlformats.org/officeDocument/2006/custom-properties" xmlns:vt="http://schemas.openxmlformats.org/officeDocument/2006/docPropsVTypes"/>
</file>