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rPr>
        <w:t xml:space="preserve">IN THE HIGH COURT OF JUSTICE</w:t>
      </w:r>
    </w:p>
    <w:p>
      <w:pPr>
        <w:spacing w:after="0"/>
      </w:pPr>
      <w:r>
        <w:rPr>
          <w:b/>
          <w:bCs/>
        </w:rPr>
        <w:t xml:space="preserve">BUSINESS AND PROPERTY COURTS OF ENGLAND AND WALES</w:t>
      </w:r>
    </w:p>
    <w:p>
      <w:pPr>
        <w:spacing w:after="0"/>
      </w:pPr>
      <w:r>
        <w:rPr>
          <w:b/>
          <w:bCs/>
        </w:rPr>
        <w:t xml:space="preserve">TECHNOLOGY AND CONSTRUCTION COURT (KBD)</w:t>
      </w:r>
    </w:p>
    <w:p>
      <w:pPr>
        <w:spacing w:after="200"/>
      </w:pPr>
      <w:r>
        <w:t xml:space="preserve">Claim No. HT-2026-000142</w:t>
      </w:r>
    </w:p>
    <w:p>
      <w:pPr>
        <w:spacing w:after="120"/>
      </w:pPr>
      <w:r>
        <w:rPr>
          <w:b/>
          <w:bCs/>
        </w:rPr>
        <w:t xml:space="preserve">B E T W E E N:</w:t>
      </w:r>
    </w:p>
    <w:p>
      <w:pPr>
        <w:spacing w:after="0"/>
        <w:jc w:val="center"/>
      </w:pPr>
      <w:r>
        <w:rPr>
          <w:b/>
          <w:bCs/>
        </w:rPr>
        <w:t xml:space="preserve">MAYBROOK AGGREGATES LIMITED</w:t>
      </w:r>
    </w:p>
    <w:p>
      <w:pPr>
        <w:spacing w:after="80"/>
        <w:jc w:val="right"/>
      </w:pPr>
      <w:r>
        <w:t xml:space="preserve">Claimant</w:t>
      </w:r>
    </w:p>
    <w:p>
      <w:pPr>
        <w:spacing w:after="80"/>
        <w:jc w:val="center"/>
      </w:pPr>
      <w:r>
        <w:t xml:space="preserve">- and -</w:t>
      </w:r>
    </w:p>
    <w:p>
      <w:pPr>
        <w:spacing w:after="0"/>
        <w:jc w:val="center"/>
      </w:pPr>
      <w:r>
        <w:rPr>
          <w:b/>
          <w:bCs/>
        </w:rPr>
        <w:t xml:space="preserve">HELMSWORTH PLANT HIRE LIMITED</w:t>
      </w:r>
    </w:p>
    <w:p>
      <w:pPr>
        <w:spacing w:after="200"/>
        <w:jc w:val="right"/>
      </w:pPr>
      <w:r>
        <w:t xml:space="preserve">Defendant</w:t>
      </w:r>
    </w:p>
    <w:p>
      <w:pPr>
        <w:pBdr>
          <w:top w:val="single" w:color="000000" w:sz="6"/>
          <w:bottom w:val="single" w:color="000000" w:sz="6"/>
        </w:pBdr>
        <w:spacing w:after="120" w:before="120"/>
        <w:jc w:val="center"/>
      </w:pPr>
      <w:r>
        <w:rPr>
          <w:b/>
          <w:bCs/>
          <w:sz w:val="26"/>
          <w:szCs w:val="26"/>
        </w:rPr>
        <w:t xml:space="preserve">REPLY</w:t>
      </w:r>
    </w:p>
    <w:p>
      <w:pPr>
        <w:pStyle w:val="ListParagraph"/>
        <w:numPr>
          <w:ilvl w:val="0"/>
          <w:numId w:val="2"/>
        </w:numPr>
        <w:spacing w:after="120"/>
      </w:pPr>
      <w:r>
        <w:t xml:space="preserve">The Claimant joins issue with the Defendant on its Defence save in so far as the same consists of admissions.</w:t>
      </w:r>
    </w:p>
    <w:p>
      <w:pPr>
        <w:pStyle w:val="ListParagraph"/>
        <w:numPr>
          <w:ilvl w:val="0"/>
          <w:numId w:val="2"/>
        </w:numPr>
        <w:spacing w:after="120"/>
      </w:pPr>
      <w:r>
        <w:t xml:space="preserve">As to paragraph 2 of the Defence, the construction of clause 7.3 contended for by the Defendant is denied. The clause contained no reference to “standard test conditions” and the throughput figure was given without qualification both in the Agreement and in the technical data sheet relied upon as a representation.</w:t>
      </w:r>
    </w:p>
    <w:p>
      <w:pPr>
        <w:pStyle w:val="ListParagraph"/>
        <w:numPr>
          <w:ilvl w:val="0"/>
          <w:numId w:val="2"/>
        </w:numPr>
        <w:spacing w:after="120"/>
      </w:pPr>
      <w:r>
        <w:t xml:space="preserve">As to the allegation of misuse, it is denied that the Claimant fed oversized or contaminated material into the Plant. The Claimant operated a primary scalping screen at all material times and its feed material was within the specification in the operating manual. The Claimant will rely on its quarry feed records and the report of its expert.</w:t>
      </w:r>
    </w:p>
    <w:p>
      <w:pPr>
        <w:pStyle w:val="ListParagraph"/>
        <w:numPr>
          <w:ilvl w:val="0"/>
          <w:numId w:val="2"/>
        </w:numPr>
        <w:spacing w:after="120"/>
      </w:pPr>
      <w:r>
        <w:t xml:space="preserve">As to the alleged failure to mitigate, the Defendant’s offer of 2 June 2025 was to supply a replacement screen unit of the same defective specification and would not have addressed the jaw-crusher failures which were the principal cause of loss. The April failure was reported within one working day, not four.</w:t>
      </w:r>
    </w:p>
    <w:p>
      <w:pPr>
        <w:pStyle w:val="ListParagraph"/>
        <w:numPr>
          <w:ilvl w:val="0"/>
          <w:numId w:val="2"/>
        </w:numPr>
        <w:spacing w:after="120"/>
      </w:pPr>
      <w:r>
        <w:t xml:space="preserve">As to clause 14.2, it is denied that the limitation of liability is effective. The clause does not satisfy the requirement of reasonableness under section 11 of the Unfair Contract Terms Act 1977, the parties being of unequal bargaining power and the limit bearing no relationship to the foreseeable loss; further, it does not on its true construction exclude liability for the Defendant’s own repudiatory breach.</w:t>
      </w:r>
    </w:p>
    <w:p>
      <w:pPr>
        <w:pStyle w:val="ListParagraph"/>
        <w:numPr>
          <w:ilvl w:val="0"/>
          <w:numId w:val="2"/>
        </w:numPr>
        <w:spacing w:after="120"/>
      </w:pPr>
      <w:r>
        <w:t xml:space="preserve">Save as expressly admitted, the Claimant joins issue with the Defendant.</w:t>
      </w:r>
    </w:p>
    <w:p>
      <w:pPr>
        <w:spacing w:after="80" w:before="200"/>
      </w:pPr>
      <w:r>
        <w:rPr>
          <w:b/>
          <w:bCs/>
        </w:rPr>
        <w:t xml:space="preserve">STATEMENT OF TRUTH</w:t>
      </w:r>
    </w:p>
    <w:p>
      <w:pPr>
        <w:spacing w:after="160"/>
      </w:pPr>
      <w:r>
        <w:t xml:space="preserve">The Claimant believes that the facts stated in this Reply are true.</w:t>
      </w:r>
    </w:p>
    <w:p>
      <w:pPr>
        <w:spacing w:after="120"/>
      </w:pPr>
      <w:r>
        <w:t xml:space="preserve">Signed: ______________________  Name: Geoffrey Maybrook  Position: Managing Director</w:t>
      </w:r>
    </w:p>
    <w:p>
      <w:pPr>
        <w:spacing w:after="120"/>
      </w:pPr>
      <w:r>
        <w:t xml:space="preserve">Dated this 12th day of March 2026.</w:t>
      </w:r>
    </w:p>
    <w:p>
      <w:pPr>
        <w:spacing w:after="120"/>
      </w:pPr>
      <w:r>
        <w:rPr>
          <w:sz w:val="18"/>
          <w:szCs w:val="18"/>
        </w:rPr>
        <w:t xml:space="preserve">Whitfield Carter LLP – Solicitors for the Claimant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4"/>
        <w:szCs w:val="14"/>
      </w:rPr>
      <w:t xml:space="preserve">Whitfield Carter LLP is a limited liability partnership registered in England and Wales (OC382214). Confidential and may be legally privileged.</w:t>
    </w:r>
  </w:p>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2026-06-30T16:50:48.047Z</dcterms:created>
  <dcterms:modified xsi:type="dcterms:W3CDTF">2026-06-30T16:50:48.047Z</dcterms:modified>
</cp:coreProperties>
</file>

<file path=docProps/custom.xml><?xml version="1.0" encoding="utf-8"?>
<Properties xmlns="http://schemas.openxmlformats.org/officeDocument/2006/custom-properties" xmlns:vt="http://schemas.openxmlformats.org/officeDocument/2006/docPropsVTypes"/>
</file>