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DATA PROCESSING AGREEMENT</w:t>
      </w:r>
    </w:p>
    <w:p>
      <w:pPr>
        <w:spacing w:after="160"/>
        <w:jc w:val="center"/>
      </w:pPr>
      <w:r>
        <w:rPr>
          <w:sz w:val="20"/>
          <w:szCs w:val="20"/>
        </w:rPr>
        <w:t xml:space="preserve">Schedule 4 to the Master Subscription &amp; Data Services Agreement</w:t>
      </w:r>
    </w:p>
    <w:p>
      <w:pPr>
        <w:spacing w:after="120" w:line="276"/>
      </w:pPr>
      <w:r>
        <w:t xml:space="preserve">This Data Processing Agreement (“DPA”) forms part of and is subject to the Master Subscription &amp; Data Services Agreement between Meridian Signal Analytics Limited (the “Processor”) and Harcourt Beverages Group plc (the “Controller”). Terms defined in the MSSA have the same meaning here.</w:t>
      </w:r>
    </w:p>
    <w:p>
      <w:pPr>
        <w:pStyle w:val="ListParagraph"/>
        <w:numPr>
          <w:ilvl w:val="0"/>
          <w:numId w:val="2"/>
        </w:numPr>
        <w:spacing w:after="120" w:line="276"/>
      </w:pPr>
      <w:r>
        <w:rPr>
          <w:b/>
          <w:bCs/>
        </w:rPr>
        <w:t xml:space="preserve">Scope and roles</w:t>
      </w:r>
    </w:p>
    <w:p>
      <w:pPr>
        <w:pStyle w:val="ListParagraph"/>
        <w:numPr>
          <w:ilvl w:val="1"/>
          <w:numId w:val="2"/>
        </w:numPr>
        <w:spacing w:after="120" w:line="276"/>
      </w:pPr>
      <w:r>
        <w:t xml:space="preserve">The Controller is the controller and the Processor is the processor in respect of the Customer Data that is personal data. The Processor shall process such personal data only on the documented instructions of the Controller, including as set out in the MSSA, unless required to do otherwise by law.</w:t>
      </w:r>
    </w:p>
    <w:p>
      <w:pPr>
        <w:pStyle w:val="ListParagraph"/>
        <w:numPr>
          <w:ilvl w:val="0"/>
          <w:numId w:val="2"/>
        </w:numPr>
        <w:spacing w:after="120" w:line="276"/>
      </w:pPr>
      <w:r>
        <w:rPr>
          <w:b/>
          <w:bCs/>
        </w:rPr>
        <w:t xml:space="preserve">Processor obligations</w:t>
      </w:r>
    </w:p>
    <w:p>
      <w:pPr>
        <w:pStyle w:val="ListParagraph"/>
        <w:numPr>
          <w:ilvl w:val="1"/>
          <w:numId w:val="2"/>
        </w:numPr>
        <w:spacing w:after="120" w:line="276"/>
      </w:pPr>
      <w:r>
        <w:t xml:space="preserve">The Processor shall: (a) ensure that persons authorised to process the personal data are bound by confidentiality; (b) implement the technical and organisational measures set out in Annex 2; (c) assist the Controller, taking into account the nature of processing, in responding to data subject requests and in meeting its obligations under Articles 32 to 36 of the UK GDPR; and (d) make available all information necessary to demonstrate compliance and allow for audits not more than once per year on reasonable notice.</w:t>
      </w:r>
    </w:p>
    <w:p>
      <w:pPr>
        <w:pStyle w:val="ListParagraph"/>
        <w:numPr>
          <w:ilvl w:val="0"/>
          <w:numId w:val="2"/>
        </w:numPr>
        <w:spacing w:after="120" w:line="276"/>
      </w:pPr>
      <w:r>
        <w:rPr>
          <w:b/>
          <w:bCs/>
        </w:rPr>
        <w:t xml:space="preserve">Sub-processors</w:t>
      </w:r>
    </w:p>
    <w:p>
      <w:pPr>
        <w:pStyle w:val="ListParagraph"/>
        <w:numPr>
          <w:ilvl w:val="1"/>
          <w:numId w:val="2"/>
        </w:numPr>
        <w:spacing w:after="120" w:line="276"/>
      </w:pPr>
      <w:r>
        <w:t xml:space="preserve">The Controller grants general authorisation for the engagement of the sub-processors listed in Annex 3. The Processor shall inform the Controller of any intended change concerning the addition or replacement of sub-processors, giving the Controller the opportunity to object within 14 days, and shall impose data-protection obligations on each sub-processor equivalent to those in this DPA.</w:t>
      </w:r>
    </w:p>
    <w:p>
      <w:pPr>
        <w:pStyle w:val="ListParagraph"/>
        <w:numPr>
          <w:ilvl w:val="0"/>
          <w:numId w:val="2"/>
        </w:numPr>
        <w:spacing w:after="120" w:line="276"/>
      </w:pPr>
      <w:r>
        <w:rPr>
          <w:b/>
          <w:bCs/>
        </w:rPr>
        <w:t xml:space="preserve">Personal data breach</w:t>
      </w:r>
    </w:p>
    <w:p>
      <w:pPr>
        <w:pStyle w:val="ListParagraph"/>
        <w:numPr>
          <w:ilvl w:val="1"/>
          <w:numId w:val="2"/>
        </w:numPr>
        <w:spacing w:after="120" w:line="276"/>
      </w:pPr>
      <w:r>
        <w:t xml:space="preserve">The Processor shall notify the Controller without undue delay, and in any event within 48 hours, after becoming aware of a personal data breach affecting the Customer Data, and shall provide reasonable assistance to the Controller in connection with its breach-notification obligations.</w:t>
      </w:r>
    </w:p>
    <w:p>
      <w:pPr>
        <w:pStyle w:val="ListParagraph"/>
        <w:numPr>
          <w:ilvl w:val="0"/>
          <w:numId w:val="2"/>
        </w:numPr>
        <w:spacing w:after="120" w:line="276"/>
      </w:pPr>
      <w:r>
        <w:rPr>
          <w:b/>
          <w:bCs/>
        </w:rPr>
        <w:t xml:space="preserve">International transfers</w:t>
      </w:r>
    </w:p>
    <w:p>
      <w:pPr>
        <w:pStyle w:val="ListParagraph"/>
        <w:numPr>
          <w:ilvl w:val="1"/>
          <w:numId w:val="2"/>
        </w:numPr>
        <w:spacing w:after="120" w:line="276"/>
      </w:pPr>
      <w:r>
        <w:t xml:space="preserve">The Processor shall not transfer personal data outside the United Kingdom without the Controller’s prior written consent and the implementation of an appropriate transfer mechanism (such as the UK International Data Transfer Addendum).</w:t>
      </w:r>
    </w:p>
    <w:p>
      <w:pPr>
        <w:pStyle w:val="ListParagraph"/>
        <w:numPr>
          <w:ilvl w:val="0"/>
          <w:numId w:val="2"/>
        </w:numPr>
        <w:spacing w:after="120" w:line="276"/>
      </w:pPr>
      <w:r>
        <w:rPr>
          <w:b/>
          <w:bCs/>
        </w:rPr>
        <w:t xml:space="preserve">Deletion or return</w:t>
      </w:r>
    </w:p>
    <w:p>
      <w:pPr>
        <w:pStyle w:val="ListParagraph"/>
        <w:numPr>
          <w:ilvl w:val="1"/>
          <w:numId w:val="2"/>
        </w:numPr>
        <w:spacing w:after="120" w:line="276"/>
      </w:pPr>
      <w:r>
        <w:t xml:space="preserve">On termination of the MSSA the Processor shall, at the Controller’s choice, delete or return all the personal data and delete existing copies unless required by law to store it, in accordance with clause 12 of the MSSA.</w:t>
      </w:r>
    </w:p>
    <w:p>
      <w:pPr>
        <w:pStyle w:val="ListParagraph"/>
        <w:numPr>
          <w:ilvl w:val="0"/>
          <w:numId w:val="2"/>
        </w:numPr>
        <w:spacing w:after="120" w:line="276"/>
      </w:pPr>
      <w:r>
        <w:rPr>
          <w:b/>
          <w:bCs/>
        </w:rPr>
        <w:t xml:space="preserve">Liability</w:t>
      </w:r>
    </w:p>
    <w:p>
      <w:pPr>
        <w:pStyle w:val="ListParagraph"/>
        <w:numPr>
          <w:ilvl w:val="1"/>
          <w:numId w:val="2"/>
        </w:numPr>
        <w:spacing w:after="120" w:line="276"/>
      </w:pPr>
      <w:r>
        <w:t xml:space="preserve">The Processor’s liability for breach of this DPA is subject to the limitations and the data-protection super-cap set out in clause 9 of the MSSA.</w:t>
      </w:r>
    </w:p>
    <w:p>
      <w:pPr>
        <w:pageBreakBefore/>
      </w:pPr>
      <w:r>
        <w:rPr>
          <w:b/>
          <w:bCs/>
          <w:sz w:val="22"/>
          <w:szCs w:val="22"/>
        </w:rPr>
        <w:t xml:space="preserve">ANNEX 1 –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Item</w:t>
            </w:r>
          </w:p>
        </w:tc>
        <w:tc>
          <w:tcPr>
            <w:tcW w:type="dxa" w:w="65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Detail</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Subject-matter</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Provision of the Cadence Platform and data services under the MSSA</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Duration</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Subscription Term and any data-export period</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Nature and purpose</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Hosting, processing and analysis of supply-chain and logistics data to provide telemetry and demand-sensing analytics</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Types of personal data</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Names, business contact details and user credentials of Authorised Users; names and contact details of the Customer’s drivers, depot and site contacts</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Categories of data subject</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Customer’s employees, contractors and supply-chain personnel</w:t>
            </w:r>
          </w:p>
        </w:tc>
      </w:tr>
    </w:tbl>
    <w:p>
      <w:pPr>
        <w:pageBreakBefore/>
      </w:pPr>
      <w:r>
        <w:rPr>
          <w:b/>
          <w:bCs/>
          <w:sz w:val="22"/>
          <w:szCs w:val="22"/>
        </w:rPr>
        <w:t xml:space="preserve">ANNEX 2 – TECHNICAL &amp; ORGANISATIONAL MEASURES</w:t>
      </w:r>
    </w:p>
    <w:p>
      <w:pPr>
        <w:pStyle w:val="ListParagraph"/>
        <w:numPr>
          <w:ilvl w:val="0"/>
          <w:numId w:val="3"/>
        </w:numPr>
        <w:spacing w:after="80" w:line="276"/>
      </w:pPr>
      <w:r>
        <w:t xml:space="preserve">Encryption of personal data in transit (TLS 1.2+) and at rest (AES-256).</w:t>
      </w:r>
    </w:p>
    <w:p>
      <w:pPr>
        <w:pStyle w:val="ListParagraph"/>
        <w:numPr>
          <w:ilvl w:val="0"/>
          <w:numId w:val="3"/>
        </w:numPr>
        <w:spacing w:after="80" w:line="276"/>
      </w:pPr>
      <w:r>
        <w:t xml:space="preserve">Role-based access control, least-privilege provisioning and mandatory multi-factor authentication for administrative access.</w:t>
      </w:r>
    </w:p>
    <w:p>
      <w:pPr>
        <w:pStyle w:val="ListParagraph"/>
        <w:numPr>
          <w:ilvl w:val="0"/>
          <w:numId w:val="3"/>
        </w:numPr>
        <w:spacing w:after="80" w:line="276"/>
      </w:pPr>
      <w:r>
        <w:t xml:space="preserve">ISO/IEC 27001-certified information security management system.</w:t>
      </w:r>
    </w:p>
    <w:p>
      <w:pPr>
        <w:pStyle w:val="ListParagraph"/>
        <w:numPr>
          <w:ilvl w:val="0"/>
          <w:numId w:val="3"/>
        </w:numPr>
        <w:spacing w:after="80" w:line="276"/>
      </w:pPr>
      <w:r>
        <w:t xml:space="preserve">Annual penetration testing and continuous vulnerability scanning.</w:t>
      </w:r>
    </w:p>
    <w:p>
      <w:pPr>
        <w:pStyle w:val="ListParagraph"/>
        <w:numPr>
          <w:ilvl w:val="0"/>
          <w:numId w:val="3"/>
        </w:numPr>
        <w:spacing w:after="80" w:line="276"/>
      </w:pPr>
      <w:r>
        <w:t xml:space="preserve">Segregated production environment with logging, monitoring and a documented incident-response plan.</w:t>
      </w:r>
    </w:p>
    <w:p>
      <w:pPr>
        <w:pStyle w:val="ListParagraph"/>
        <w:numPr>
          <w:ilvl w:val="0"/>
          <w:numId w:val="3"/>
        </w:numPr>
        <w:spacing w:after="80" w:line="276"/>
      </w:pPr>
      <w:r>
        <w:t xml:space="preserve">Daily encrypted backups with a 30-day retention and tested restore procedures.</w:t>
      </w:r>
    </w:p>
    <w:p>
      <w:pPr>
        <w:pageBreakBefore/>
      </w:pPr>
      <w:r>
        <w:rPr>
          <w:b/>
          <w:bCs/>
          <w:sz w:val="22"/>
          <w:szCs w:val="22"/>
        </w:rPr>
        <w:t xml:space="preserve">ANNEX 3 – AUTHORISED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000"/>
        <w:gridCol w:w="2600"/>
      </w:tblGrid>
      <w:tr>
        <w:tc>
          <w:tcPr>
            <w:tcW w:type="dxa" w:w="3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Sub-processor</w:t>
            </w:r>
          </w:p>
        </w:tc>
        <w:tc>
          <w:tcPr>
            <w:tcW w:type="dxa" w:w="3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Service</w:t>
            </w:r>
          </w:p>
        </w:tc>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Location</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Amazon Web Services EMEA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Cloud hosting (eu-west-2)</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United Kingdom</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Helix Mailrelay Ltd</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Transactional email</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United Kingdom</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Carrenza Support Services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Tier-2 technical support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United Kingdom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40"/>
    </w:pPr>
    <w:r>
      <w:rPr>
        <w:color w:val="888888"/>
        <w:sz w:val="14"/>
        <w:szCs w:val="14"/>
      </w:rPr>
      <w:t xml:space="preserve">Meridian / Harcourt – Data Processing Agreement</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2026-06-30T11:15:50.554Z</dcterms:created>
  <dcterms:modified xsi:type="dcterms:W3CDTF">2026-06-30T11:15:50.554Z</dcterms:modified>
</cp:coreProperties>
</file>

<file path=docProps/custom.xml><?xml version="1.0" encoding="utf-8"?>
<Properties xmlns="http://schemas.openxmlformats.org/officeDocument/2006/custom-properties" xmlns:vt="http://schemas.openxmlformats.org/officeDocument/2006/docPropsVTypes"/>
</file>