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i/>
          <w:iCs/>
          <w:sz w:val="18"/>
          <w:szCs w:val="18"/>
        </w:rPr>
        <w:t xml:space="preserve">Private &amp; Confidential</w:t>
      </w:r>
    </w:p>
    <w:p>
      <w:pPr>
        <w:spacing w:after="120" w:line="276"/>
      </w:pPr>
      <w:r>
        <w:t xml:space="preserve">12 September 2025</w:t>
      </w:r>
    </w:p>
    <w:p>
      <w:pPr>
        <w:spacing w:after="120" w:line="276"/>
      </w:pPr>
      <w:r>
        <w:t xml:space="preserve">Mr Henry Calderwood</w:t>
      </w:r>
    </w:p>
    <w:p>
      <w:pPr>
        <w:spacing w:after="120" w:line="276"/>
      </w:pPr>
      <w:r>
        <w:t xml:space="preserve">Chief Financial Officer</w:t>
      </w:r>
    </w:p>
    <w:p>
      <w:pPr>
        <w:spacing w:after="120" w:line="276"/>
      </w:pPr>
      <w:r>
        <w:t xml:space="preserve">Meridian Signal Analytics Limited</w:t>
      </w:r>
    </w:p>
    <w:p>
      <w:pPr>
        <w:spacing w:after="120" w:line="276"/>
      </w:pPr>
      <w:r>
        <w:t xml:space="preserve">4th Floor, Tantallon House, 30 Charlotte Street, London W1T 2NG</w:t>
      </w:r>
    </w:p>
    <w:p>
      <w:r>
        <w:t xml:space="preserve"/>
      </w:r>
    </w:p>
    <w:p>
      <w:pPr>
        <w:spacing w:after="120" w:line="276"/>
      </w:pPr>
      <w:r>
        <w:rPr>
          <w:b/>
          <w:bCs/>
        </w:rPr>
        <w:t xml:space="preserve">Dear Henry</w:t>
      </w:r>
    </w:p>
    <w:p>
      <w:pPr>
        <w:spacing w:after="120" w:line="276"/>
      </w:pPr>
      <w:r>
        <w:rPr>
          <w:b/>
          <w:bCs/>
        </w:rPr>
        <w:t xml:space="preserve">Engagement: Master Subscription &amp; Data Services Agreement with Harcourt Beverages Group plc (our ref: WC-00199)</w:t>
      </w:r>
    </w:p>
    <w:p>
      <w:pPr>
        <w:spacing w:after="120" w:line="276"/>
      </w:pPr>
      <w:r>
        <w:t xml:space="preserve">Thank you for instructing Whitfield Carter LLP in connection with the proposed master subscription and data services arrangement under which Meridian Signal Analytics Limited (“Meridian” or “you”) will license its supply-chain telemetry platform and associated data feeds to Harcourt Beverages Group plc (“Harcourt”). This letter sets out the scope of our engagement, the team, our fees and the standard terms on which we act.</w:t>
      </w:r>
    </w:p>
    <w:p>
      <w:pPr>
        <w:pStyle w:val="Heading2"/>
      </w:pPr>
      <w:r>
        <w:t xml:space="preserve">1. Scope of work</w:t>
      </w:r>
    </w:p>
    <w:p>
      <w:pPr>
        <w:spacing w:after="120" w:line="276"/>
      </w:pPr>
      <w:r>
        <w:t xml:space="preserve">Our instructions are to advise on and document Meridian’s contract with Harcourt as supplier-side counsel. The work comprises:</w:t>
      </w:r>
    </w:p>
    <w:p>
      <w:pPr>
        <w:pStyle w:val="ListParagraph"/>
        <w:numPr>
          <w:ilvl w:val="0"/>
          <w:numId w:val="2"/>
        </w:numPr>
        <w:spacing w:after="80" w:line="276"/>
      </w:pPr>
      <w:r>
        <w:t xml:space="preserve">preparing a first draft Master Subscription &amp; Data Services Agreement (the “MSSA”) on Meridian’s preferred terms, together with the Order Form, Statement of Work, Service Level Agreement and a UK GDPR-compliant Data Processing Agreement;</w:t>
      </w:r>
    </w:p>
    <w:p>
      <w:pPr>
        <w:pStyle w:val="ListParagraph"/>
        <w:numPr>
          <w:ilvl w:val="0"/>
          <w:numId w:val="2"/>
        </w:numPr>
        <w:spacing w:after="80" w:line="276"/>
      </w:pPr>
      <w:r>
        <w:t xml:space="preserve">negotiating the MSSA and ancillary documents with Harcourt and its legal advisers, Marlowe Greaves LLP;</w:t>
      </w:r>
    </w:p>
    <w:p>
      <w:pPr>
        <w:pStyle w:val="ListParagraph"/>
        <w:numPr>
          <w:ilvl w:val="0"/>
          <w:numId w:val="2"/>
        </w:numPr>
        <w:spacing w:after="80" w:line="276"/>
      </w:pPr>
      <w:r>
        <w:t xml:space="preserve">advising on key risk allocation — in particular limitation and exclusion of liability, the data-protection liability super-cap, intellectual property, service credits and termination; and</w:t>
      </w:r>
    </w:p>
    <w:p>
      <w:pPr>
        <w:pStyle w:val="ListParagraph"/>
        <w:numPr>
          <w:ilvl w:val="0"/>
          <w:numId w:val="2"/>
        </w:numPr>
        <w:spacing w:after="80" w:line="276"/>
      </w:pPr>
      <w:r>
        <w:t xml:space="preserve">managing signature and producing an execution version and signature pack.</w:t>
      </w:r>
    </w:p>
    <w:p>
      <w:pPr>
        <w:spacing w:after="120" w:line="276"/>
      </w:pPr>
      <w:r>
        <w:t xml:space="preserve">Our engagement does not include advice on the regulatory treatment of Meridian’s data products, competition law, or the tax treatment of the subscription revenues, unless separately instructed.</w:t>
      </w:r>
    </w:p>
    <w:p>
      <w:pPr>
        <w:pStyle w:val="Heading2"/>
      </w:pPr>
      <w:r>
        <w:t xml:space="preserve">2. Your team</w:t>
      </w:r>
    </w:p>
    <w:p>
      <w:pPr>
        <w:spacing w:after="120" w:line="276"/>
      </w:pPr>
      <w:r>
        <w:t xml:space="preserve">The matter is led by Sarah Whitfield (Partner), supported by James Osei (Senior Associate) and Elena Marchetti (Associate). Sarah has overall responsibility for the engagement and is your principal point of contact.</w:t>
      </w:r>
    </w:p>
    <w:p>
      <w:pPr>
        <w:pStyle w:val="Heading2"/>
      </w:pPr>
      <w:r>
        <w:t xml:space="preserve">3. Fees and estimate</w:t>
      </w:r>
    </w:p>
    <w:p>
      <w:pPr>
        <w:spacing w:after="120" w:line="276"/>
      </w:pPr>
      <w:r>
        <w:t xml:space="preserve">Our charges are based on the time spent at the hourly rates below (exclusive of 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60"/>
        <w:gridCol w:w="2300"/>
      </w:tblGrid>
      <w:tr>
        <w:tc>
          <w:tcPr>
            <w:tcW w:type="dxa" w:w="3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Fee earner</w:t>
            </w:r>
          </w:p>
        </w:tc>
        <w:tc>
          <w:tcPr>
            <w:tcW w:type="dxa" w:w="32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Role</w:t>
            </w:r>
          </w:p>
        </w:tc>
        <w:tc>
          <w:tcPr>
            <w:tcW w:type="dxa" w:w="23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Rate (GBP/hour)</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Sarah Whitfield</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Partner</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650</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James Osei</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Senior Associate</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440</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Elena Marchetti</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Associate</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310</w:t>
            </w:r>
          </w:p>
        </w:tc>
      </w:tr>
    </w:tbl>
    <w:p>
      <w:pPr>
        <w:spacing w:after="120" w:line="276"/>
      </w:pPr>
      <w:r>
        <w:t xml:space="preserve">Based on the anticipated scope and a single principal round of negotiation, we estimate our fees for this matter at between £28,000 and £38,000 plus VAT and disbursements. We will tell you promptly if it appears the estimate will be exceeded. We will bill monthly in arrears.</w:t>
      </w:r>
    </w:p>
    <w:p>
      <w:pPr>
        <w:pStyle w:val="Heading2"/>
      </w:pPr>
      <w:r>
        <w:t xml:space="preserve">4. Standard terms of business</w:t>
      </w:r>
    </w:p>
    <w:p>
      <w:pPr>
        <w:spacing w:after="120" w:line="276"/>
      </w:pPr>
      <w:r>
        <w:t xml:space="preserve">We act for you on our standard terms of business (enclosed), which form part of this engagement. They cover, among other things, our duty of confidentiality, conflicts, the basis of charging, our limitation of liability (capped at £3 million for this matter unless otherwise agreed in writing), file retention and complaints handling, and the use of email for correspondence.</w:t>
      </w:r>
    </w:p>
    <w:p>
      <w:pPr>
        <w:pStyle w:val="Heading2"/>
      </w:pPr>
      <w:r>
        <w:t xml:space="preserve">5. Anti-money laundering</w:t>
      </w:r>
    </w:p>
    <w:p>
      <w:pPr>
        <w:spacing w:after="120" w:line="276"/>
      </w:pPr>
      <w:r>
        <w:t xml:space="preserve">As a regulated firm we are required to verify the identity of our clients. We have completed electronic verification for Meridian and its directors; please tell us promptly of any change in the ownership or control of Meridian during the engagement.</w:t>
      </w:r>
    </w:p>
    <w:p>
      <w:pPr>
        <w:pStyle w:val="Heading2"/>
      </w:pPr>
      <w:r>
        <w:t xml:space="preserve">6. Acceptance</w:t>
      </w:r>
    </w:p>
    <w:p>
      <w:pPr>
        <w:spacing w:after="120" w:line="276"/>
      </w:pPr>
      <w:r>
        <w:t xml:space="preserve">Please confirm your acceptance of this engagement and the enclosed terms of business by returning a signed copy of this letter. We are very pleased to be working with you on this and look forward to getting the first draft to Harcourt shortly.</w:t>
      </w:r>
    </w:p>
    <w:p>
      <w:r>
        <w:t xml:space="preserve"/>
      </w:r>
    </w:p>
    <w:p>
      <w:pPr>
        <w:spacing w:after="120" w:line="276"/>
      </w:pPr>
      <w:r>
        <w:t xml:space="preserve">Yours sincerely</w:t>
      </w:r>
    </w:p>
    <w:p>
      <w:r>
        <w:t xml:space="preserve"/>
      </w:r>
    </w:p>
    <w:p>
      <w:r>
        <w:t xml:space="preserve"/>
      </w:r>
    </w:p>
    <w:p>
      <w:pPr>
        <w:spacing w:after="120" w:line="276"/>
      </w:pPr>
      <w:r>
        <w:rPr>
          <w:b/>
          <w:bCs/>
        </w:rPr>
        <w:t xml:space="preserve">Sarah Whitfield</w:t>
      </w:r>
    </w:p>
    <w:p>
      <w:pPr>
        <w:spacing w:after="120" w:line="276"/>
      </w:pPr>
      <w:r>
        <w:t xml:space="preserve">Partner</w:t>
      </w:r>
    </w:p>
    <w:p>
      <w:pPr>
        <w:spacing w:after="120" w:line="276"/>
      </w:pPr>
      <w:r>
        <w:t xml:space="preserve">Whitfield Carter LLP</w:t>
      </w:r>
    </w:p>
    <w:p>
      <w:pPr>
        <w:spacing w:after="120" w:line="276"/>
      </w:pPr>
      <w:r>
        <w:t xml:space="preserve">sarah.whitfield@whitfieldcarter.com  ·  +44 (0)20 7946 0521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after="0" w:before="40"/>
    </w:pPr>
    <w:r>
      <w:rPr>
        <w:color w:val="777777"/>
        <w:sz w:val="13"/>
        <w:szCs w:val="13"/>
      </w:rPr>
      <w:t xml:space="preserve">Whitfield Carter LLP is a limited liability partnership registered in England and Wales (OC418204). Authorised and regulated by the Solicitors Regulation Authority. Confidential and may be legally privileged.</w:t>
    </w:r>
  </w:p>
  <w:p>
    <w:pPr>
      <w:spacing w:before="20"/>
      <w:jc w:val="right"/>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8"/>
        <w:szCs w:val="28"/>
      </w:rPr>
      <w:t xml:space="preserve">Whitfield Carter LLP</w:t>
    </w:r>
  </w:p>
  <w:p>
    <w:pPr>
      <w:spacing w:after="0"/>
    </w:pPr>
    <w:r>
      <w:rPr>
        <w:color w:val="1F3864"/>
        <w:sz w:val="16"/>
        <w:szCs w:val="16"/>
      </w:rPr>
      <w:t xml:space="preserve">Solicitors</w:t>
    </w:r>
  </w:p>
  <w:p>
    <w:pPr>
      <w:pBdr>
        <w:bottom w:val="single" w:color="1F3864" w:sz="6" w:space="1"/>
      </w:pBdr>
      <w:spacing w:after="60"/>
    </w:pPr>
    <w:r>
      <w:rPr>
        <w:color w:val="555555"/>
        <w:sz w:val="15"/>
        <w:szCs w:val="15"/>
      </w:rPr>
      <w:t xml:space="preserve">22 Bishopsgate, London EC2N 4BQ  ·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2026-06-30T11:15:50.195Z</dcterms:created>
  <dcterms:modified xsi:type="dcterms:W3CDTF">2026-06-30T11:15:50.195Z</dcterms:modified>
</cp:coreProperties>
</file>

<file path=docProps/custom.xml><?xml version="1.0" encoding="utf-8"?>
<Properties xmlns="http://schemas.openxmlformats.org/officeDocument/2006/custom-properties" xmlns:vt="http://schemas.openxmlformats.org/officeDocument/2006/docPropsVTypes"/>
</file>