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2"/>
          <w:szCs w:val="22"/>
        </w:rPr>
        <w:t xml:space="preserve">MERIDIAN SIGNAL ANALYTICS LIMITED – HARCOURT BEVERAGES GROUP PLC</w:t>
      </w:r>
    </w:p>
    <w:p>
      <w:pPr>
        <w:spacing w:after="40"/>
        <w:jc w:val="center"/>
      </w:pPr>
      <w:r>
        <w:rPr>
          <w:b/>
          <w:bCs/>
          <w:sz w:val="24"/>
          <w:szCs w:val="24"/>
        </w:rPr>
        <w:t xml:space="preserve">Commercial Heads of Terms – Master Subscription &amp; Data Services Agreement</w:t>
      </w:r>
    </w:p>
    <w:p>
      <w:pPr>
        <w:spacing w:after="200"/>
        <w:jc w:val="center"/>
      </w:pPr>
      <w:r>
        <w:rPr>
          <w:i/>
          <w:iCs/>
          <w:sz w:val="18"/>
          <w:szCs w:val="18"/>
        </w:rPr>
        <w:t xml:space="preserve">Subject to contract · Not legally binding (save for confidentiality)  ·  19 September 2025</w:t>
      </w:r>
    </w:p>
    <w:p>
      <w:pPr>
        <w:spacing w:after="120" w:line="276"/>
      </w:pPr>
      <w:r>
        <w:t xml:space="preserve">These heads of terms record the principal commercial terms discussed between Meridian Signal Analytics Limited (“Meridian”) and Harcourt Beverages Group plc (“Harcourt”) for Harcourt’s subscription to the Meridian Cadence supply-chain telemetry platform. They are a basis for negotiation of the definitive MSSA and, except for the confidentiality paragraph, are not intended to be legally binding.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Item</w:t>
            </w:r>
          </w:p>
        </w:tc>
        <w:tc>
          <w:tcPr>
            <w:tcW w:type="dxa" w:w="6760"/>
            <w:tcBorders>
              <w:top w:val="single" w:color="BBBBBB" w:sz="1"/>
              <w:left w:val="single" w:color="BBBBBB" w:sz="1"/>
              <w:bottom w:val="single" w:color="BBBBBB" w:sz="1"/>
              <w:right w:val="single" w:color="BBBBBB" w:sz="1"/>
            </w:tcBorders>
            <w:shd w:fill="D9E2EC" w:val="clear"/>
            <w:tcMar>
              <w:top w:type="dxa" w:w="60"/>
              <w:left w:type="dxa" w:w="110"/>
              <w:bottom w:type="dxa" w:w="60"/>
              <w:right w:type="dxa" w:w="110"/>
            </w:tcMar>
          </w:tcPr>
          <w:p>
            <w:pPr>
              <w:spacing w:after="0"/>
            </w:pPr>
            <w:r>
              <w:rPr>
                <w:b/>
                <w:bCs/>
              </w:rPr>
              <w:t xml:space="preserve">Heads of terms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Supplier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Meridian Signal Analytics Limited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Customer</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Harcourt Beverages Group plc (and its UK subsidiaries listed in the Order Form)</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Solution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Meridian Cadence platform: real-time supply-chain telemetry, demand-sensing analytics and the Cadence data feeds, accessed via SaaS and API</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Initial term</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3 years from the Service Commencement Date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Renewal</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Successive 12-month periods unless either party gives 90 days’ notice</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Annual subscription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£840,000 per annum (Tier 3 – up to 40 sites, 250 named users)</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Implementation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One-off implementation &amp; integration fee of £120,000 (per SOW)</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Price review</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RPI-linked annual uplift, capped at 4% per annum, from year 2</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Payment terms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Annually in advance; 30 days from invoice (under negotiation)</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Service levels</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99.9% monthly uptime; service credits per SLA</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Data protection</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Meridian processor of Harcourt personal data; UK GDPR DPA to be agreed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Liability cap</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To be negotiated — Meridian proposes 100% of annual fees; data-breach treatment to be agreed</w:t>
            </w:r>
          </w:p>
        </w:tc>
      </w:tr>
      <w:tr>
        <w:tc>
          <w:tcPr>
            <w:tcW w:type="dxa" w:w="260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Governing law</w:t>
            </w:r>
          </w:p>
        </w:tc>
        <w:tc>
          <w:tcPr>
            <w:tcW w:type="dxa" w:w="6760"/>
            <w:tcBorders>
              <w:top w:val="single" w:color="BBBBBB" w:sz="1"/>
              <w:left w:val="single" w:color="BBBBBB" w:sz="1"/>
              <w:bottom w:val="single" w:color="BBBBBB" w:sz="1"/>
              <w:right w:val="single" w:color="BBBBBB" w:sz="1"/>
            </w:tcBorders>
            <w:tcMar>
              <w:top w:type="dxa" w:w="60"/>
              <w:left w:type="dxa" w:w="110"/>
              <w:bottom w:type="dxa" w:w="60"/>
              <w:right w:type="dxa" w:w="110"/>
            </w:tcMar>
          </w:tcPr>
          <w:p>
            <w:pPr>
              <w:spacing w:after="0"/>
            </w:pPr>
            <w:r>
              <w:rPr>
                <w:b w:val="false"/>
                <w:bCs w:val="false"/>
              </w:rPr>
              <w:t xml:space="preserve">England and Wales</w:t>
            </w:r>
          </w:p>
        </w:tc>
      </w:tr>
    </w:tbl>
    <w:p>
      <w:r>
        <w:t xml:space="preserve"/>
      </w:r>
    </w:p>
    <w:p>
      <w:pPr>
        <w:spacing w:after="120" w:line="276"/>
      </w:pPr>
      <w:r>
        <w:rPr>
          <w:b/>
          <w:bCs/>
        </w:rPr>
        <w:t xml:space="preserve">Confidentiality. </w:t>
      </w:r>
      <w:r>
        <w:t xml:space="preserve">Each party shall keep the existence and contents of these heads of terms and all information exchanged in connection with the proposed arrangement confidential, save as required by law or to its professional advisers. This paragraph is binding.</w:t>
      </w:r>
    </w:p>
    <w:p>
      <w:pPr>
        <w:spacing w:after="120" w:line="276"/>
      </w:pPr>
      <w:r>
        <w:t xml:space="preserve">Prepared by Whitfield Carter LLP for discussion purposes. Our ref: WC-00199.</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40"/>
    </w:pPr>
    <w:r>
      <w:rPr>
        <w:color w:val="888888"/>
        <w:sz w:val="14"/>
        <w:szCs w:val="14"/>
      </w:rPr>
      <w:t xml:space="preserve">Meridian / Harcourt – Heads of Terms (subject to contract)</w:t>
    </w:r>
    <w:r>
      <w:rPr>
        <w:color w:val="888888"/>
        <w:sz w:val="14"/>
        <w:szCs w:val="14"/>
      </w:rPr>
      <w:t xml:space="preserve">	Page </w:t>
    </w:r>
    <w:r>
      <w:rPr>
        <w:color w:val="888888"/>
        <w:sz w:val="14"/>
        <w:szCs w:val="14"/>
      </w:rPr>
      <w:fldChar w:fldCharType="begin"/>
      <w:instrText xml:space="preserve">PAGE</w:instrText>
      <w:fldChar w:fldCharType="separate"/>
      <w:fldChar w:fldCharType="end"/>
    </w:r>
    <w:r>
      <w:rPr>
        <w:color w:val="888888"/>
        <w:sz w:val="14"/>
        <w:szCs w:val="14"/>
      </w:rPr>
      <w:t xml:space="preserve"> of </w:t>
    </w:r>
    <w:r>
      <w:rPr>
        <w:color w:val="888888"/>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720"/>
      </w:pPr>
    </w:lvl>
    <w:lvl w:ilvl="1" w15:tentative="1">
      <w:start w:val="1"/>
      <w:numFmt w:val="decimal"/>
      <w:lvlText w:val="%1.%2"/>
      <w:lvlJc w:val="left"/>
      <w:pPr>
        <w:ind w:left="720" w:hanging="720"/>
      </w:pPr>
    </w:lvl>
    <w:lvl w:ilvl="2" w15:tentative="1">
      <w:start w:val="1"/>
      <w:numFmt w:val="lowerLetter"/>
      <w:lvlText w:val="(%3)"/>
      <w:lvlJc w:val="left"/>
      <w:pPr>
        <w:ind w:left="1440" w:hanging="720"/>
      </w:pPr>
    </w:lvl>
    <w:lvl w:ilvl="3" w15:tentative="1">
      <w:start w:val="1"/>
      <w:numFmt w:val="lowerRoman"/>
      <w:lvlText w:val="(%4)"/>
      <w:lvlJc w:val="left"/>
      <w:pPr>
        <w:ind w:left="2160" w:hanging="72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6"/>
      <w:szCs w:val="26"/>
    </w:rPr>
  </w:style>
  <w:style w:type="paragraph" w:styleId="Heading2">
    <w:name w:val="Heading 2"/>
    <w:basedOn w:val="Normal"/>
    <w:next w:val="Normal"/>
    <w:qFormat/>
    <w:pPr>
      <w:spacing w:after="100" w:before="18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2026-06-30T11:15:50.277Z</dcterms:created>
  <dcterms:modified xsi:type="dcterms:W3CDTF">2026-06-30T11:15:50.277Z</dcterms:modified>
</cp:coreProperties>
</file>

<file path=docProps/custom.xml><?xml version="1.0" encoding="utf-8"?>
<Properties xmlns="http://schemas.openxmlformats.org/officeDocument/2006/custom-properties" xmlns:vt="http://schemas.openxmlformats.org/officeDocument/2006/docPropsVTypes"/>
</file>