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MASTER SUBSCRIPTION &amp; DATA SERVICES AGREEMENT</w:t>
      </w:r>
    </w:p>
    <w:p>
      <w:pPr>
        <w:spacing w:after="160"/>
        <w:jc w:val="center"/>
      </w:pPr>
      <w:r>
        <w:rPr>
          <w:sz w:val="20"/>
          <w:szCs w:val="20"/>
        </w:rPr>
        <w:t xml:space="preserve">Dated [ ] September 2025 (DRAFT v1)</w:t>
      </w:r>
    </w:p>
    <w:p>
      <w:pPr>
        <w:spacing w:after="120" w:line="276"/>
      </w:pPr>
      <w:r>
        <w:rPr>
          <w:b/>
          <w:bCs/>
        </w:rPr>
        <w:t xml:space="preserve">PARTIES</w:t>
      </w:r>
    </w:p>
    <w:p>
      <w:pPr>
        <w:spacing w:after="120" w:line="276"/>
      </w:pPr>
      <w:r>
        <w:t xml:space="preserve">(1)  </w:t>
      </w:r>
      <w:r>
        <w:rPr>
          <w:b/>
          <w:bCs/>
        </w:rPr>
        <w:t xml:space="preserve">MERIDIAN SIGNAL ANALYTICS LIMITED</w:t>
      </w:r>
      <w:r>
        <w:t xml:space="preserve">, a company incorporated in England and Wales (registered number 11894732) whose registered office is at 4th Floor, Tantallon House, 30 Charlotte Street, London W1T 2NG (the “Supplier” or “Meridian”); and</w:t>
      </w:r>
    </w:p>
    <w:p>
      <w:pPr>
        <w:spacing w:after="120" w:line="276"/>
      </w:pPr>
      <w:r>
        <w:t xml:space="preserve">(2)  </w:t>
      </w:r>
      <w:r>
        <w:rPr>
          <w:b/>
          <w:bCs/>
        </w:rPr>
        <w:t xml:space="preserve">HARCOURT BEVERAGES GROUP PLC</w:t>
      </w:r>
      <w:r>
        <w:t xml:space="preserve">, a company incorporated in England and Wales (registered number 03622187) whose registered office is at Harcourt House, Eastgate Business Park, Leeds LS9 0PJ (the “Customer” or “Harcourt”),</w:t>
      </w:r>
    </w:p>
    <w:p>
      <w:pPr>
        <w:spacing w:after="120" w:line="276"/>
      </w:pPr>
      <w:r>
        <w:t xml:space="preserve">each a “party” and together the “parties”.</w:t>
      </w:r>
    </w:p>
    <w:p>
      <w:pPr>
        <w:spacing w:after="120" w:line="276"/>
      </w:pPr>
      <w:r>
        <w:rPr>
          <w:b/>
          <w:bCs/>
        </w:rPr>
        <w:t xml:space="preserve">BACKGROUND</w:t>
      </w:r>
    </w:p>
    <w:p>
      <w:pPr>
        <w:spacing w:after="120" w:line="276"/>
      </w:pPr>
      <w:r>
        <w:t xml:space="preserve">(A)  The Supplier provides a cloud-hosted supply-chain telemetry and demand-sensing platform known as “Meridian Cadence”, together with associated data feeds and analytics services.</w:t>
      </w:r>
    </w:p>
    <w:p>
      <w:pPr>
        <w:spacing w:after="120" w:line="276"/>
      </w:pPr>
      <w:r>
        <w:t xml:space="preserve">(B)  The Customer wishes to subscribe to the platform and to receive the related implementation, support and data services on the terms of this agreement.</w:t>
      </w:r>
    </w:p>
    <w:p>
      <w:pPr>
        <w:spacing w:after="120" w:line="276"/>
      </w:pPr>
      <w:r>
        <w:t xml:space="preserve">(C)  This agreement sets out the framework master terms under which the Supplier will provide, and the Customer will receive and pay for, the Services described in one or more Order Forms.</w:t>
      </w:r>
    </w:p>
    <w:p>
      <w:pPr>
        <w:spacing w:after="120" w:line="276"/>
      </w:pPr>
      <w:r>
        <w:rPr>
          <w:b/>
          <w:bCs/>
        </w:rPr>
        <w:t xml:space="preserve">AGREED TERMS</w:t>
      </w:r>
    </w:p>
    <w:p>
      <w:pPr>
        <w:pStyle w:val="ListParagraph"/>
        <w:numPr>
          <w:ilvl w:val="0"/>
          <w:numId w:val="2"/>
        </w:numPr>
        <w:spacing w:after="120" w:line="276"/>
      </w:pPr>
      <w:r>
        <w:rPr>
          <w:b/>
          <w:bCs/>
        </w:rPr>
        <w:t xml:space="preserve">Definitions and interpretation</w:t>
      </w:r>
    </w:p>
    <w:p>
      <w:pPr>
        <w:pStyle w:val="ListParagraph"/>
        <w:numPr>
          <w:ilvl w:val="1"/>
          <w:numId w:val="2"/>
        </w:numPr>
        <w:spacing w:after="120" w:line="276"/>
      </w:pPr>
      <w:r>
        <w:t xml:space="preserve">In this agreement,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Term</w:t>
            </w:r>
          </w:p>
        </w:tc>
        <w:tc>
          <w:tcPr>
            <w:tcW w:type="dxa" w:w="67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Meaning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“Authorised Users”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Customer’s employees, agents and contractors who are authorised by the Customer to use the Services, up to the number of Named Users specified in the Order Form.</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“Cadence Platform”</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Supplier’s proprietary Meridian Cadence software-as-a-service application, APIs and data feeds, as more particularly described in the Order Form and Documentation.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“Confidential Information”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all information disclosed by or on behalf of a party that is marked or ought reasonably to be regarded as confidential, including the terms of this agreement, the Customer Data and the Supplier’s technology and pricing.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“Customer Data”</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all data, including personal data, inputted by or on behalf of the Customer, or generated by the Customer’s use of the Services, but excluding the Usage Data and the Supplier’s aggregated analytics outputs.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“Data Protection Legislation”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UK GDPR, the Data Protection Act 2018 and all applicable laws relating to the processing of personal data and privacy.</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“DPA”</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data processing agreement entered into between the parties and forming Schedule 4 to this agreement.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“Documentation”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Supplier’s standard user and technical documentation for the Cadence Platform made available online.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“Fees”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subscription fees, implementation fees and any other charges payable under an Order Form, as set out in clause 6 and Schedule 2.</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“Order Form”</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 ordering document agreed and signed by the parties specifying the Services, the subscription tier, the Fees and the Subscription Term (Schedule 1).</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“Service Commencement Date”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date specified as such in the Order Form, being the date from which the subscription begins.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“Service Levels” / “SLA”</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service availability and support commitments set out in Schedule 3.</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“Services”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provision of access to the Cadence Platform, the implementation services, support and the data services described in this agreement and the Order Form.</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“Subscription Term”</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Initial Term and any Renewal Period, as defined in clause 12.</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“Usage Data”</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data generated by the operation of the Services that does not identify the Customer or any individual and which the Supplier uses to operate, secure and improve the Services.</w:t>
            </w:r>
          </w:p>
        </w:tc>
      </w:tr>
    </w:tbl>
    <w:p>
      <w:pPr>
        <w:pStyle w:val="ListParagraph"/>
        <w:numPr>
          <w:ilvl w:val="1"/>
          <w:numId w:val="2"/>
        </w:numPr>
        <w:spacing w:after="120" w:line="276"/>
      </w:pPr>
      <w:r>
        <w:t xml:space="preserve">Clause, schedule and paragraph headings do not affect interpretation. A reference to a statute is to that statute as amended or re-enacted. Words importing the singular include the plural and vice versa. In the event of conflict, the order of precedence is: (i) the Order Form; (ii) the body of this agreement; (iii) the DPA; (iv) the SLA; and (v) any other schedule.</w:t>
      </w:r>
    </w:p>
    <w:p>
      <w:pPr>
        <w:pStyle w:val="ListParagraph"/>
        <w:numPr>
          <w:ilvl w:val="0"/>
          <w:numId w:val="2"/>
        </w:numPr>
        <w:spacing w:after="120" w:line="276"/>
      </w:pPr>
      <w:r>
        <w:rPr>
          <w:b/>
          <w:bCs/>
        </w:rPr>
        <w:t xml:space="preserve">Grant of subscription</w:t>
      </w:r>
    </w:p>
    <w:p>
      <w:pPr>
        <w:pStyle w:val="ListParagraph"/>
        <w:numPr>
          <w:ilvl w:val="1"/>
          <w:numId w:val="2"/>
        </w:numPr>
        <w:spacing w:after="120" w:line="276"/>
      </w:pPr>
      <w:r>
        <w:t xml:space="preserve">In consideration of the Fees, the Supplier grants the Customer a non-exclusive, non-transferable right, during the Subscription Term, to permit the Authorised Users to access and use the Cadence Platform and the Documentation for the Customer’s internal business operations.</w:t>
      </w:r>
    </w:p>
    <w:p>
      <w:pPr>
        <w:pStyle w:val="ListParagraph"/>
        <w:numPr>
          <w:ilvl w:val="1"/>
          <w:numId w:val="2"/>
        </w:numPr>
        <w:spacing w:after="120" w:line="276"/>
      </w:pPr>
      <w:r>
        <w:t xml:space="preserve">The Customer shall not exceed the number of Named Users or sites specified in the Order Form without agreeing additional Fees, and shall not allow any subscription to be used by more than one individual unless reassigned in its entirety to another Authorised User.</w:t>
      </w:r>
    </w:p>
    <w:p>
      <w:pPr>
        <w:pStyle w:val="ListParagraph"/>
        <w:numPr>
          <w:ilvl w:val="1"/>
          <w:numId w:val="2"/>
        </w:numPr>
        <w:spacing w:after="120" w:line="276"/>
      </w:pPr>
      <w:r>
        <w:t xml:space="preserve">The Customer shall not (and shall not permit any third party to): (a) copy, modify or create derivative works of the Cadence Platform; (b) reverse engineer or decompile any part of the software except to the extent permitted by law; (c) access the Services to build a competing product; or (d) resell or make the Services available to any third party except its permitted affiliates listed in the Order Form.</w:t>
      </w:r>
    </w:p>
    <w:p>
      <w:pPr>
        <w:pStyle w:val="ListParagraph"/>
        <w:numPr>
          <w:ilvl w:val="0"/>
          <w:numId w:val="2"/>
        </w:numPr>
        <w:spacing w:after="120" w:line="276"/>
      </w:pPr>
      <w:r>
        <w:rPr>
          <w:b/>
          <w:bCs/>
        </w:rPr>
        <w:t xml:space="preserve">Implementation services</w:t>
      </w:r>
    </w:p>
    <w:p>
      <w:pPr>
        <w:pStyle w:val="ListParagraph"/>
        <w:numPr>
          <w:ilvl w:val="1"/>
          <w:numId w:val="2"/>
        </w:numPr>
        <w:spacing w:after="120" w:line="276"/>
      </w:pPr>
      <w:r>
        <w:t xml:space="preserve">The Supplier shall provide the implementation, configuration and data-integration services described in the Statement of Work agreed between the parties, with the aim of achieving the Service Commencement Date set out in the Order Form.</w:t>
      </w:r>
    </w:p>
    <w:p>
      <w:pPr>
        <w:pStyle w:val="ListParagraph"/>
        <w:numPr>
          <w:ilvl w:val="1"/>
          <w:numId w:val="2"/>
        </w:numPr>
        <w:spacing w:after="120" w:line="276"/>
      </w:pPr>
      <w:r>
        <w:t xml:space="preserve">Each party shall perform its respective responsibilities and dependencies set out in the Statement of Work. Where the Customer fails to perform a dependency, any affected timescales shall be extended by a reasonable period.</w:t>
      </w:r>
    </w:p>
    <w:p>
      <w:pPr>
        <w:pStyle w:val="ListParagraph"/>
        <w:numPr>
          <w:ilvl w:val="0"/>
          <w:numId w:val="2"/>
        </w:numPr>
        <w:spacing w:after="120" w:line="276"/>
      </w:pPr>
      <w:r>
        <w:rPr>
          <w:b/>
          <w:bCs/>
        </w:rPr>
        <w:t xml:space="preserve">Supplier obligations and service levels</w:t>
      </w:r>
    </w:p>
    <w:p>
      <w:pPr>
        <w:pStyle w:val="ListParagraph"/>
        <w:numPr>
          <w:ilvl w:val="1"/>
          <w:numId w:val="2"/>
        </w:numPr>
        <w:spacing w:after="120" w:line="276"/>
      </w:pPr>
      <w:r>
        <w:t xml:space="preserve">The Supplier shall provide the Services with reasonable skill and care and in accordance with the Service Levels set out in Schedule 3.</w:t>
      </w:r>
    </w:p>
    <w:p>
      <w:pPr>
        <w:pStyle w:val="ListParagraph"/>
        <w:numPr>
          <w:ilvl w:val="1"/>
          <w:numId w:val="2"/>
        </w:numPr>
        <w:spacing w:after="120" w:line="276"/>
      </w:pPr>
      <w:r>
        <w:t xml:space="preserve">The Supplier shall use commercially reasonable endeavours to make the Cadence Platform available at least 99.9% of the time, measured monthly, excluding planned maintenance notified in advance and events outside its reasonable control. Where the Supplier fails to meet the availability target, the Customer’s sole financial remedy shall be the service credits set out in the SLA.</w:t>
      </w:r>
    </w:p>
    <w:p>
      <w:pPr>
        <w:pStyle w:val="ListParagraph"/>
        <w:numPr>
          <w:ilvl w:val="1"/>
          <w:numId w:val="2"/>
        </w:numPr>
        <w:spacing w:after="120" w:line="276"/>
      </w:pPr>
      <w:r>
        <w:t xml:space="preserve">The Supplier shall maintain appropriate technical and organisational security measures, including those set out in the DPA, designed to protect the Customer Data against unauthorised access, loss or disclosure, and shall maintain certification to ISO/IEC 27001 throughout the Subscription Term.</w:t>
      </w:r>
    </w:p>
    <w:p>
      <w:pPr>
        <w:pStyle w:val="ListParagraph"/>
        <w:numPr>
          <w:ilvl w:val="0"/>
          <w:numId w:val="2"/>
        </w:numPr>
        <w:spacing w:after="120" w:line="276"/>
      </w:pPr>
      <w:r>
        <w:rPr>
          <w:b/>
          <w:bCs/>
        </w:rPr>
        <w:t xml:space="preserve">Customer obligations</w:t>
      </w:r>
    </w:p>
    <w:p>
      <w:pPr>
        <w:pStyle w:val="ListParagraph"/>
        <w:numPr>
          <w:ilvl w:val="1"/>
          <w:numId w:val="2"/>
        </w:numPr>
        <w:spacing w:after="120" w:line="276"/>
      </w:pPr>
      <w:r>
        <w:t xml:space="preserve">The Customer shall: (a) provide the Supplier with all cooperation, access and information reasonably required to provide the Services; (b) ensure that the Authorised Users use the Services in accordance with this agreement and the acceptable use policy; and (c) be responsible for procuring and maintaining its own network connections and equipment.</w:t>
      </w:r>
    </w:p>
    <w:p>
      <w:pPr>
        <w:pStyle w:val="ListParagraph"/>
        <w:numPr>
          <w:ilvl w:val="1"/>
          <w:numId w:val="2"/>
        </w:numPr>
        <w:spacing w:after="120" w:line="276"/>
      </w:pPr>
      <w:r>
        <w:t xml:space="preserve">The Customer warrants that it has obtained all necessary rights and consents to provide the Customer Data to the Supplier for processing in accordance with this agreement and the DPA.</w:t>
      </w:r>
    </w:p>
    <w:p>
      <w:pPr>
        <w:pStyle w:val="ListParagraph"/>
        <w:numPr>
          <w:ilvl w:val="0"/>
          <w:numId w:val="2"/>
        </w:numPr>
        <w:spacing w:after="120" w:line="276"/>
      </w:pPr>
      <w:r>
        <w:rPr>
          <w:b/>
          <w:bCs/>
        </w:rPr>
        <w:t xml:space="preserve">Fees and payment</w:t>
      </w:r>
    </w:p>
    <w:p>
      <w:pPr>
        <w:pStyle w:val="ListParagraph"/>
        <w:numPr>
          <w:ilvl w:val="1"/>
          <w:numId w:val="2"/>
        </w:numPr>
        <w:spacing w:after="120" w:line="276"/>
      </w:pPr>
      <w:r>
        <w:t xml:space="preserve">In consideration of the Services, the Customer shall pay the Fees set out in the Order Form and Schedule 2, comprising an annual subscription fee of £840,000 (eight hundred and forty thousand pounds) and a one-off implementation fee of £120,000 (one hundred and twenty thousand pounds).</w:t>
      </w:r>
    </w:p>
    <w:p>
      <w:pPr>
        <w:pStyle w:val="ListParagraph"/>
        <w:numPr>
          <w:ilvl w:val="1"/>
          <w:numId w:val="2"/>
        </w:numPr>
        <w:spacing w:after="120" w:line="276"/>
      </w:pPr>
      <w:r>
        <w:t xml:space="preserve">The annual subscription fee is payable annually in advance. The implementation fee is payable 50% on signature of the Order Form and 50% on the Service Commencement Date.</w:t>
      </w:r>
    </w:p>
    <w:p>
      <w:pPr>
        <w:pStyle w:val="ListParagraph"/>
        <w:numPr>
          <w:ilvl w:val="1"/>
          <w:numId w:val="2"/>
        </w:numPr>
        <w:spacing w:after="120" w:line="276"/>
      </w:pPr>
      <w:r>
        <w:t xml:space="preserve">The Supplier shall invoice the Customer in accordance with the above, and the Customer shall pay each correctly rendered invoice within 30 days of the date of invoice. All amounts are exclusive of VAT, which shall be added where applicable.</w:t>
      </w:r>
    </w:p>
    <w:p>
      <w:pPr>
        <w:pStyle w:val="ListParagraph"/>
        <w:numPr>
          <w:ilvl w:val="1"/>
          <w:numId w:val="2"/>
        </w:numPr>
        <w:spacing w:after="120" w:line="276"/>
      </w:pPr>
      <w:r>
        <w:t xml:space="preserve">From the second year of the Subscription Term, the Supplier may increase the annual subscription fee once per year in line with the percentage increase in the Retail Prices Index over the preceding 12 months, provided that no such increase shall exceed 4% in any year.</w:t>
      </w:r>
    </w:p>
    <w:p>
      <w:pPr>
        <w:pStyle w:val="ListParagraph"/>
        <w:numPr>
          <w:ilvl w:val="1"/>
          <w:numId w:val="2"/>
        </w:numPr>
        <w:spacing w:after="120" w:line="276"/>
      </w:pPr>
      <w:r>
        <w:t xml:space="preserve">If any undisputed sum is not paid when due, the Supplier may charge interest at 3% per annum above the base rate of the Bank of England, and may suspend the Services on 14 days’ written notice if the overdue sum remains unpaid.</w:t>
      </w:r>
    </w:p>
    <w:p>
      <w:pPr>
        <w:pStyle w:val="ListParagraph"/>
        <w:numPr>
          <w:ilvl w:val="0"/>
          <w:numId w:val="2"/>
        </w:numPr>
        <w:spacing w:after="120" w:line="276"/>
      </w:pPr>
      <w:r>
        <w:rPr>
          <w:b/>
          <w:bCs/>
        </w:rPr>
        <w:t xml:space="preserve">Intellectual property</w:t>
      </w:r>
    </w:p>
    <w:p>
      <w:pPr>
        <w:pStyle w:val="ListParagraph"/>
        <w:numPr>
          <w:ilvl w:val="1"/>
          <w:numId w:val="2"/>
        </w:numPr>
        <w:spacing w:after="120" w:line="276"/>
      </w:pPr>
      <w:r>
        <w:t xml:space="preserve">As between the parties, the Supplier owns all intellectual property rights in the Cadence Platform, the Documentation, the Usage Data and any aggregated or anonymised analytics outputs. Nothing in this agreement transfers any such rights to the Customer save for the rights of use expressly granted.</w:t>
      </w:r>
    </w:p>
    <w:p>
      <w:pPr>
        <w:pStyle w:val="ListParagraph"/>
        <w:numPr>
          <w:ilvl w:val="1"/>
          <w:numId w:val="2"/>
        </w:numPr>
        <w:spacing w:after="120" w:line="276"/>
      </w:pPr>
      <w:r>
        <w:t xml:space="preserve">As between the parties, the Customer owns all intellectual property rights in the Customer Data. The Customer grants the Supplier a non-exclusive licence to use, host and process the Customer Data to the extent necessary to provide the Services and as set out in the DPA.</w:t>
      </w:r>
    </w:p>
    <w:p>
      <w:pPr>
        <w:pStyle w:val="ListParagraph"/>
        <w:numPr>
          <w:ilvl w:val="1"/>
          <w:numId w:val="2"/>
        </w:numPr>
        <w:spacing w:after="120" w:line="276"/>
      </w:pPr>
      <w:r>
        <w:t xml:space="preserve">The Supplier shall indemnify the Customer against losses arising from any claim that the Customer’s use of the Cadence Platform in accordance with this agreement infringes the intellectual property rights of a third party, subject to the Customer notifying the Supplier promptly and allowing the Supplier to conduct the defence. This indemnity is subject to the limitations in clause 9.</w:t>
      </w:r>
    </w:p>
    <w:p>
      <w:pPr>
        <w:pStyle w:val="ListParagraph"/>
        <w:numPr>
          <w:ilvl w:val="0"/>
          <w:numId w:val="2"/>
        </w:numPr>
        <w:spacing w:after="120" w:line="276"/>
      </w:pPr>
      <w:r>
        <w:rPr>
          <w:b/>
          <w:bCs/>
        </w:rPr>
        <w:t xml:space="preserve">Data protection</w:t>
      </w:r>
    </w:p>
    <w:p>
      <w:pPr>
        <w:pStyle w:val="ListParagraph"/>
        <w:numPr>
          <w:ilvl w:val="1"/>
          <w:numId w:val="2"/>
        </w:numPr>
        <w:spacing w:after="120" w:line="276"/>
      </w:pPr>
      <w:r>
        <w:t xml:space="preserve">Each party shall comply with the Data Protection Legislation. The parties acknowledge that, for the purposes of the Data Protection Legislation, the Customer is the controller and the Supplier is the processor of any personal data within the Customer Data.</w:t>
      </w:r>
    </w:p>
    <w:p>
      <w:pPr>
        <w:pStyle w:val="ListParagraph"/>
        <w:numPr>
          <w:ilvl w:val="1"/>
          <w:numId w:val="2"/>
        </w:numPr>
        <w:spacing w:after="120" w:line="276"/>
      </w:pPr>
      <w:r>
        <w:t xml:space="preserve">The Supplier shall process such personal data only in accordance with the DPA at Schedule 4, which sets out the subject-matter, duration, nature and purpose of the processing, the types of personal data and categories of data subject, and the obligations and rights of the Customer.</w:t>
      </w:r>
    </w:p>
    <w:p>
      <w:pPr>
        <w:pStyle w:val="ListParagraph"/>
        <w:numPr>
          <w:ilvl w:val="0"/>
          <w:numId w:val="2"/>
        </w:numPr>
        <w:spacing w:after="120" w:line="276"/>
      </w:pPr>
      <w:r>
        <w:rPr>
          <w:b/>
          <w:bCs/>
        </w:rPr>
        <w:t xml:space="preserve">Limitation of liability</w:t>
      </w:r>
    </w:p>
    <w:p>
      <w:pPr>
        <w:pStyle w:val="ListParagraph"/>
        <w:numPr>
          <w:ilvl w:val="1"/>
          <w:numId w:val="2"/>
        </w:numPr>
        <w:spacing w:after="120" w:line="276"/>
      </w:pPr>
      <w:r>
        <w:t xml:space="preserve">Nothing in this agreement limits or excludes either party’s liability for: (a) death or personal injury caused by its negligence; (b) fraud or fraudulent misrepresentation; or (c) any other liability that cannot be limited or excluded by law.</w:t>
      </w:r>
    </w:p>
    <w:p>
      <w:pPr>
        <w:pStyle w:val="ListParagraph"/>
        <w:numPr>
          <w:ilvl w:val="1"/>
          <w:numId w:val="2"/>
        </w:numPr>
        <w:spacing w:after="120" w:line="276"/>
      </w:pPr>
      <w:r>
        <w:t xml:space="preserve">Subject to clause 9.1, neither party shall be liable to the other, whether in contract, tort (including negligence), breach of statutory duty or otherwise, for any: (a) loss of profits; (b) loss of business or revenue; (c) loss of anticipated savings; (d) loss of goodwill; or (e) indirect or consequential loss.</w:t>
      </w:r>
    </w:p>
    <w:p>
      <w:pPr>
        <w:pStyle w:val="ListParagraph"/>
        <w:numPr>
          <w:ilvl w:val="1"/>
          <w:numId w:val="2"/>
        </w:numPr>
        <w:spacing w:after="120" w:line="276"/>
      </w:pPr>
      <w:r>
        <w:t xml:space="preserve">Subject to clauses 9.1 and 9.4, each party’s total aggregate liability arising under or in connection with this agreement in any contract year shall not exceed an amount equal to 100% of the total Fees paid by the Customer under this agreement in the 12 months preceding the date on which the claim arose.</w:t>
      </w:r>
    </w:p>
    <w:p>
      <w:pPr>
        <w:pStyle w:val="ListParagraph"/>
        <w:numPr>
          <w:ilvl w:val="1"/>
          <w:numId w:val="2"/>
        </w:numPr>
        <w:spacing w:after="120" w:line="276"/>
      </w:pPr>
      <w:r>
        <w:t xml:space="preserve">Notwithstanding clause 9.3, the Supplier’s total aggregate liability for: (a) breach of its data-protection obligations under clause 8 and the DPA; and (b) breach of its confidentiality obligations under clause 10, shall not exceed an amount equal to 100% of the total Fees paid in the 12 months preceding the claim in aggregate over the term of this agreement.</w:t>
      </w:r>
    </w:p>
    <w:p>
      <w:pPr>
        <w:pStyle w:val="ListParagraph"/>
        <w:numPr>
          <w:ilvl w:val="0"/>
          <w:numId w:val="2"/>
        </w:numPr>
        <w:spacing w:after="120" w:line="276"/>
      </w:pPr>
      <w:r>
        <w:rPr>
          <w:b/>
          <w:bCs/>
        </w:rPr>
        <w:t xml:space="preserve">Confidentiality</w:t>
      </w:r>
    </w:p>
    <w:p>
      <w:pPr>
        <w:pStyle w:val="ListParagraph"/>
        <w:numPr>
          <w:ilvl w:val="1"/>
          <w:numId w:val="2"/>
        </w:numPr>
        <w:spacing w:after="120" w:line="276"/>
      </w:pPr>
      <w:r>
        <w:t xml:space="preserve">Each party shall keep the other party’s Confidential Information confidential and shall not use it except for the purpose of exercising or performing its rights and obligations under this agreement, nor disclose it except to those of its personnel and advisers who need to know it and who are bound by equivalent obligations.</w:t>
      </w:r>
    </w:p>
    <w:p>
      <w:pPr>
        <w:pStyle w:val="ListParagraph"/>
        <w:numPr>
          <w:ilvl w:val="1"/>
          <w:numId w:val="2"/>
        </w:numPr>
        <w:spacing w:after="120" w:line="276"/>
      </w:pPr>
      <w:r>
        <w:t xml:space="preserve">The obligations in clause 10.1 do not apply to information that is or becomes public through no fault of the receiving party, was lawfully in its possession before disclosure, or is required to be disclosed by law or a regulator.</w:t>
      </w:r>
    </w:p>
    <w:p>
      <w:pPr>
        <w:pStyle w:val="ListParagraph"/>
        <w:numPr>
          <w:ilvl w:val="0"/>
          <w:numId w:val="2"/>
        </w:numPr>
        <w:spacing w:after="120" w:line="276"/>
      </w:pPr>
      <w:r>
        <w:rPr>
          <w:b/>
          <w:bCs/>
        </w:rPr>
        <w:t xml:space="preserve">Warranties</w:t>
      </w:r>
    </w:p>
    <w:p>
      <w:pPr>
        <w:pStyle w:val="ListParagraph"/>
        <w:numPr>
          <w:ilvl w:val="1"/>
          <w:numId w:val="2"/>
        </w:numPr>
        <w:spacing w:after="120" w:line="276"/>
      </w:pPr>
      <w:r>
        <w:t xml:space="preserve">The Supplier warrants that the Services will be provided with reasonable skill and care and that the Cadence Platform will perform materially in accordance with the Documentation. The Customer’s exclusive remedy for breach of this warranty is for the Supplier to use reasonable endeavours to correct the non-conformity or, failing correction within a reasonable period, to terminate and receive a refund of pre-paid Fees for the unexpired Subscription Term.</w:t>
      </w:r>
    </w:p>
    <w:p>
      <w:pPr>
        <w:pStyle w:val="ListParagraph"/>
        <w:numPr>
          <w:ilvl w:val="1"/>
          <w:numId w:val="2"/>
        </w:numPr>
        <w:spacing w:after="120" w:line="276"/>
      </w:pPr>
      <w:r>
        <w:t xml:space="preserve">Except as expressly set out in this agreement, all warranties, conditions and terms implied by statute or common law are excluded to the fullest extent permitted by law.</w:t>
      </w:r>
    </w:p>
    <w:p>
      <w:pPr>
        <w:pStyle w:val="ListParagraph"/>
        <w:numPr>
          <w:ilvl w:val="0"/>
          <w:numId w:val="2"/>
        </w:numPr>
        <w:spacing w:after="120" w:line="276"/>
      </w:pPr>
      <w:r>
        <w:rPr>
          <w:b/>
          <w:bCs/>
        </w:rPr>
        <w:t xml:space="preserve">Term and termination</w:t>
      </w:r>
    </w:p>
    <w:p>
      <w:pPr>
        <w:pStyle w:val="ListParagraph"/>
        <w:numPr>
          <w:ilvl w:val="1"/>
          <w:numId w:val="2"/>
        </w:numPr>
        <w:spacing w:after="120" w:line="276"/>
      </w:pPr>
      <w:r>
        <w:t xml:space="preserve">This agreement begins on the Service Commencement Date and, unless terminated earlier, continues for an initial term of 3 (three) years (the “Initial Term”) and thereafter renews automatically for successive periods of 12 months (each a “Renewal Period”) unless either party gives not less than 90 days’ written notice to expire at the end of the Initial Term or the then-current Renewal Period.</w:t>
      </w:r>
    </w:p>
    <w:p>
      <w:pPr>
        <w:pStyle w:val="ListParagraph"/>
        <w:numPr>
          <w:ilvl w:val="1"/>
          <w:numId w:val="2"/>
        </w:numPr>
        <w:spacing w:after="120" w:line="276"/>
      </w:pPr>
      <w:r>
        <w:t xml:space="preserve">Either party may terminate this agreement immediately by written notice if the other commits a material breach which is not remedied within 30 days of written notice, or becomes insolvent.</w:t>
      </w:r>
    </w:p>
    <w:p>
      <w:pPr>
        <w:pStyle w:val="ListParagraph"/>
        <w:numPr>
          <w:ilvl w:val="1"/>
          <w:numId w:val="2"/>
        </w:numPr>
        <w:spacing w:after="120" w:line="276"/>
      </w:pPr>
      <w:r>
        <w:t xml:space="preserve">On termination: (a) all licences granted under this agreement immediately end; (b) the Customer shall pay all Fees accrued up to termination; and (c) the Supplier shall, on request made within 30 days of termination, make the Customer Data available for export in a commonly used format, after which it may delete the Customer Data in accordance with the DPA.</w:t>
      </w:r>
    </w:p>
    <w:p>
      <w:pPr>
        <w:pStyle w:val="ListParagraph"/>
        <w:numPr>
          <w:ilvl w:val="0"/>
          <w:numId w:val="2"/>
        </w:numPr>
        <w:spacing w:after="120" w:line="276"/>
      </w:pPr>
      <w:r>
        <w:rPr>
          <w:b/>
          <w:bCs/>
        </w:rPr>
        <w:t xml:space="preserve">General</w:t>
      </w:r>
    </w:p>
    <w:p>
      <w:pPr>
        <w:pStyle w:val="ListParagraph"/>
        <w:numPr>
          <w:ilvl w:val="1"/>
          <w:numId w:val="2"/>
        </w:numPr>
        <w:spacing w:after="120" w:line="276"/>
      </w:pPr>
      <w:r>
        <w:t xml:space="preserve">Force majeure. Neither party is liable for any failure or delay in performance caused by an event beyond its reasonable control, provided it takes reasonable steps to mitigate.</w:t>
      </w:r>
    </w:p>
    <w:p>
      <w:pPr>
        <w:pStyle w:val="ListParagraph"/>
        <w:numPr>
          <w:ilvl w:val="1"/>
          <w:numId w:val="2"/>
        </w:numPr>
        <w:spacing w:after="120" w:line="276"/>
      </w:pPr>
      <w:r>
        <w:t xml:space="preserve">Assignment. Neither party may assign or otherwise transfer its rights or obligations without the prior written consent of the other (not to be unreasonably withheld), save that the Supplier may assign to an affiliate or successor in connection with a reorganisation or sale of its business.</w:t>
      </w:r>
    </w:p>
    <w:p>
      <w:pPr>
        <w:pStyle w:val="ListParagraph"/>
        <w:numPr>
          <w:ilvl w:val="1"/>
          <w:numId w:val="2"/>
        </w:numPr>
        <w:spacing w:after="120" w:line="276"/>
      </w:pPr>
      <w:r>
        <w:t xml:space="preserve">Entire agreement. This agreement, including its schedules and the Order Form, constitutes the entire agreement between the parties and supersedes all prior arrangements. Each party agrees that it has not relied on any statement not set out in this agreement.</w:t>
      </w:r>
    </w:p>
    <w:p>
      <w:pPr>
        <w:pStyle w:val="ListParagraph"/>
        <w:numPr>
          <w:ilvl w:val="1"/>
          <w:numId w:val="2"/>
        </w:numPr>
        <w:spacing w:after="120" w:line="276"/>
      </w:pPr>
      <w:r>
        <w:t xml:space="preserve">Third-party rights. Save for permitted affiliates expressly identified in the Order Form, a person who is not a party has no rights under the Contracts (Rights of Third Parties) Act 1999 to enforce any term.</w:t>
      </w:r>
    </w:p>
    <w:p>
      <w:pPr>
        <w:pStyle w:val="ListParagraph"/>
        <w:numPr>
          <w:ilvl w:val="1"/>
          <w:numId w:val="2"/>
        </w:numPr>
        <w:spacing w:after="120" w:line="276"/>
      </w:pPr>
      <w:r>
        <w:t xml:space="preserve">Notices. Any notice must be in writing and delivered by hand, pre-paid first-class post or email to the address of the relevant party set out in the Order Form.</w:t>
      </w:r>
    </w:p>
    <w:p>
      <w:pPr>
        <w:pStyle w:val="ListParagraph"/>
        <w:numPr>
          <w:ilvl w:val="1"/>
          <w:numId w:val="2"/>
        </w:numPr>
        <w:spacing w:after="120" w:line="276"/>
      </w:pPr>
      <w:r>
        <w:t xml:space="preserve">Variation. No variation of this agreement is effective unless it is in writing and signed by an authorised representative of each party.</w:t>
      </w:r>
    </w:p>
    <w:p>
      <w:pPr>
        <w:pStyle w:val="ListParagraph"/>
        <w:numPr>
          <w:ilvl w:val="1"/>
          <w:numId w:val="2"/>
        </w:numPr>
        <w:spacing w:after="120" w:line="276"/>
      </w:pPr>
      <w:r>
        <w:t xml:space="preserve">Governing law and jurisdiction. This agreement and any dispute arising out of it are governed by the law of England and Wales, and the parties submit to the exclusive jurisdiction of the courts of England and Wales.</w:t>
      </w:r>
    </w:p>
    <w:p>
      <w:pPr>
        <w:pStyle w:val="ListParagraph"/>
        <w:numPr>
          <w:ilvl w:val="1"/>
          <w:numId w:val="2"/>
        </w:numPr>
        <w:spacing w:after="120" w:line="276"/>
      </w:pPr>
      <w:r>
        <w:t xml:space="preserve">Counterparts. This agreement may be executed in any number of counterparts, each of which when executed constitutes a duplicate original, but all the counterparts together constitute one agreement.</w:t>
      </w:r>
    </w:p>
    <w:p>
      <w:pPr>
        <w:pageBreakBefore/>
      </w:pPr>
      <w:r>
        <w:rPr>
          <w:b/>
          <w:bCs/>
          <w:sz w:val="24"/>
          <w:szCs w:val="24"/>
        </w:rPr>
        <w:t xml:space="preserve">SCHEDULE 1 – ORDER FORM (summary)</w:t>
      </w:r>
    </w:p>
    <w:p>
      <w:pPr>
        <w:spacing w:after="120" w:line="276"/>
      </w:pPr>
      <w:r>
        <w:t xml:space="preserve">The agreed Order Form is set out in the separate Order Form document and incorporated by reference. Key terms: Tier 3 subscription; up to 40 sites and 250 Named Users; Service Commencement Date as stated therein.</w:t>
      </w:r>
    </w:p>
    <w:p>
      <w:pPr>
        <w:pageBreakBefore/>
      </w:pPr>
      <w:r>
        <w:rPr>
          <w:b/>
          <w:bCs/>
          <w:sz w:val="24"/>
          <w:szCs w:val="24"/>
        </w:rPr>
        <w:t xml:space="preserve">SCHEDULE 2 –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c>
          <w:tcPr>
            <w:tcW w:type="dxa" w:w="37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Fee</w:t>
            </w:r>
          </w:p>
        </w:tc>
        <w:tc>
          <w:tcPr>
            <w:tcW w:type="dxa" w:w="2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Amount</w:t>
            </w:r>
          </w:p>
        </w:tc>
        <w:tc>
          <w:tcPr>
            <w:tcW w:type="dxa" w:w="2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Frequency</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Annual subscription (Tier 3)</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£840,000 (eight hundred and forty thousand pounds)</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Annually in advance</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Implementation &amp; integration</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£120,000 (one hundred and twenty thousand pounds)</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One-off (50/50)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Additional site (over 40)</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£12,000 per site</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Annual</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Additional 25 Named Users</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£18,000 per block</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Annual</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Premium data feed (optional)</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£60,000 per annum</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Annual</w:t>
            </w:r>
          </w:p>
        </w:tc>
      </w:tr>
    </w:tbl>
    <w:p>
      <w:pPr>
        <w:pageBreakBefore/>
      </w:pPr>
      <w:r>
        <w:rPr>
          <w:b/>
          <w:bCs/>
          <w:sz w:val="24"/>
          <w:szCs w:val="24"/>
        </w:rPr>
        <w:t xml:space="preserve">SCHEDULE 3 – SERVICE LEVELS</w:t>
      </w:r>
    </w:p>
    <w:p>
      <w:pPr>
        <w:spacing w:after="120" w:line="276"/>
      </w:pPr>
      <w:r>
        <w:t xml:space="preserve">The Service Levels are set out in the separate Service Level Agreement document and incorporated by reference. Target monthly availability 99.9%; support response times and service credits as stated therein.</w:t>
      </w:r>
    </w:p>
    <w:p>
      <w:pPr>
        <w:pageBreakBefore/>
      </w:pPr>
      <w:r>
        <w:rPr>
          <w:b/>
          <w:bCs/>
          <w:sz w:val="24"/>
          <w:szCs w:val="24"/>
        </w:rPr>
        <w:t xml:space="preserve">SCHEDULE 4 – DATA PROCESSING AGREEMENT</w:t>
      </w:r>
    </w:p>
    <w:p>
      <w:pPr>
        <w:spacing w:after="120" w:line="276"/>
      </w:pPr>
      <w:r>
        <w:t xml:space="preserve">The Data Processing Agreement is set out in the separate DPA document and incorporated by reference into this agreement as Schedule 4.</w:t>
      </w:r>
    </w:p>
    <w:p>
      <w:pPr>
        <w:pageBreakBefore/>
      </w:pPr>
      <w:r>
        <w:rPr>
          <w:b/>
          <w:bCs/>
          <w:sz w:val="24"/>
          <w:szCs w:val="24"/>
        </w:rPr>
        <w:t xml:space="preserve">EXECUTION</w:t>
      </w:r>
    </w:p>
    <w:p>
      <w:pPr>
        <w:spacing w:after="120" w:line="276"/>
      </w:pPr>
      <w:r>
        <w:t xml:space="preserve">This agreement has been entered into on the date stated at the beginning of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Signed for and on behalf of MERIDIAN SIGNAL ANALYTICS LIMITED</w:t>
            </w:r>
          </w:p>
        </w:tc>
        <w:tc>
          <w:tcPr>
            <w:tcW w:type="dxa" w:w="468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Signed for and on behalf of HARCOURT BEVERAGES GROUP PLC</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Signature: ______________________</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Signature: ______________________</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Name: ________________</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Name: ________________</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Title: Director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Title: Director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Date: ________________</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Date: ________________</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40"/>
    </w:pPr>
    <w:r>
      <w:rPr>
        <w:color w:val="888888"/>
        <w:sz w:val="14"/>
        <w:szCs w:val="14"/>
      </w:rPr>
      <w:t xml:space="preserve">Meridian / Harcourt MSSA – DRAFT v1 (Whitfield Carter LLP)</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2026-06-30T11:15:50.392Z</dcterms:created>
  <dcterms:modified xsi:type="dcterms:W3CDTF">2026-06-30T11:15:50.392Z</dcterms:modified>
</cp:coreProperties>
</file>

<file path=docProps/custom.xml><?xml version="1.0" encoding="utf-8"?>
<Properties xmlns="http://schemas.openxmlformats.org/officeDocument/2006/custom-properties" xmlns:vt="http://schemas.openxmlformats.org/officeDocument/2006/docPropsVTypes"/>
</file>