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26"/>
          <w:szCs w:val="26"/>
        </w:rPr>
        <w:t xml:space="preserve">SERVICE LEVEL AGREEMENT</w:t>
      </w:r>
    </w:p>
    <w:p>
      <w:pPr>
        <w:spacing w:after="160"/>
        <w:jc w:val="center"/>
      </w:pPr>
      <w:r>
        <w:rPr>
          <w:sz w:val="20"/>
          <w:szCs w:val="20"/>
        </w:rPr>
        <w:t xml:space="preserve">Schedule 3 to the Master Subscription &amp; Data Services Agreement</w:t>
      </w:r>
    </w:p>
    <w:p>
      <w:pPr>
        <w:spacing w:after="120" w:line="276"/>
      </w:pPr>
      <w:r>
        <w:t xml:space="preserve">This SLA sets out the availability target, support response times and service credits applicable to the Cadence Platform.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b/>
          <w:bCs/>
        </w:rPr>
        <w:t xml:space="preserve">Availability</w:t>
      </w:r>
    </w:p>
    <w:p>
      <w:pPr>
        <w:pStyle w:val="ListParagraph"/>
        <w:numPr>
          <w:ilvl w:val="1"/>
          <w:numId w:val="2"/>
        </w:numPr>
        <w:spacing w:after="120" w:line="276"/>
      </w:pPr>
      <w:r>
        <w:t xml:space="preserve">Target availability is 99.9% of each calendar month, measured at the production application layer, excluding planned maintenance notified at least 48 hours in advance (not to exceed 8 hours per month) and events outside the Supplier’s reasonable control.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b/>
          <w:bCs/>
        </w:rPr>
        <w:t xml:space="preserve">Service credits</w:t>
      </w:r>
    </w:p>
    <w:p>
      <w:pPr>
        <w:spacing w:after="120" w:line="276"/>
      </w:pPr>
      <w:r>
        <w:t xml:space="preserve">Where monthly availability falls below the target, the Customer is entitled, on written request within 30 days, to the following service credits against the next subscription invoice: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Monthly availability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Service credit (% of monthly subscription fee)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99.9% – 99.5%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5%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99.49% – 99.0%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10%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98.99% – 98.0%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20%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Below 98.0%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30% (maximum)</w:t>
            </w:r>
          </w:p>
        </w:tc>
      </w:tr>
    </w:tbl>
    <w:p>
      <w:pPr>
        <w:spacing w:after="120" w:line="276"/>
      </w:pPr>
      <w:r>
        <w:t xml:space="preserve">Service credits are the Customer’s sole financial remedy for failure to meet the availability target. The maximum aggregate service credits in any month shall not exceed 30% of that month’s subscription fee. Persistent failure (three consecutive months below 99.0%) entitles the Customer to terminate for material breach.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b/>
          <w:bCs/>
        </w:rPr>
        <w:t xml:space="preserve">Support response and resolution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360"/>
        <w:gridCol w:w="1700"/>
        <w:gridCol w:w="250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Severity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Response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Target resolution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S1 – Critical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Service unavailable; no workaround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30 minutes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4 hours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S2 – High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Major function impaired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 hours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 business day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S3 – Medium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Minor function impaired; workaround exists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 business day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5 business days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S4 – Low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Query or cosmetic issue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 business days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Next release</w:t>
            </w:r>
          </w:p>
        </w:tc>
      </w:tr>
    </w:tbl>
    <w:p>
      <w:pPr>
        <w:spacing w:after="120" w:line="276"/>
      </w:pPr>
      <w:r>
        <w:t xml:space="preserve">Support hours are 08:00–18:00 UK time on business days, with 24/7 cover for Severity 1 incidents.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40"/>
    </w:pPr>
    <w:r>
      <w:rPr>
        <w:color w:val="888888"/>
        <w:sz w:val="14"/>
        <w:szCs w:val="14"/>
      </w:rPr>
      <w:t xml:space="preserve">Meridian / Harcourt – Service Level Agreement</w:t>
    </w:r>
    <w:r>
      <w:rPr>
        <w:color w:val="888888"/>
        <w:sz w:val="14"/>
        <w:szCs w:val="14"/>
      </w:rPr>
      <w:t xml:space="preserve">	Page </w:t>
    </w:r>
    <w:r>
      <w:rPr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4"/>
        <w:szCs w:val="14"/>
      </w:rPr>
      <w:t xml:space="preserve"> of </w:t>
    </w:r>
    <w:r>
      <w:rPr>
        <w:color w:val="888888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720"/>
      </w:pPr>
    </w:lvl>
    <w:lvl w:ilvl="1" w15:tentative="1">
      <w:start w:val="1"/>
      <w:numFmt w:val="decimal"/>
      <w:lvlText w:val="%1.%2"/>
      <w:lvlJc w:val="left"/>
      <w:pPr>
        <w:ind w:left="720" w:hanging="720"/>
      </w:pPr>
    </w:lvl>
    <w:lvl w:ilvl="2" w15:tentative="1">
      <w:start w:val="1"/>
      <w:numFmt w:val="lowerLetter"/>
      <w:lvlText w:val="(%3)"/>
      <w:lvlJc w:val="left"/>
      <w:pPr>
        <w:ind w:left="1440" w:hanging="720"/>
      </w:pPr>
    </w:lvl>
    <w:lvl w:ilvl="3" w15:tentative="1">
      <w:start w:val="1"/>
      <w:numFmt w:val="lowerRoman"/>
      <w:lvlText w:val="(%4)"/>
      <w:lvlJc w:val="left"/>
      <w:pPr>
        <w:ind w:left="2160" w:hanging="7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2026-06-30T11:15:50.677Z</dcterms:created>
  <dcterms:modified xsi:type="dcterms:W3CDTF">2026-06-30T11:15:50.677Z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