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STATEMENT OF WORK – IMPLEMENTATION</w:t>
      </w:r>
    </w:p>
    <w:p>
      <w:pPr>
        <w:spacing w:after="120" w:line="276"/>
      </w:pPr>
      <w:r>
        <w:t xml:space="preserve">This Statement of Work (“SOW”) is agreed under the MSSA between Meridian Signal Analytics Limited and Harcourt Beverages Group plc and governs the implementation and integration of the Cadence Platform.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To configure the Cadence Platform for Harcourt’s 32 UK production and distribution sites, integrate Harcourt’s ERP and telematics feeds, migrate historical movement data and train Authorised Users, achieving go-live by the Service Commencement Date of 5 January 2026.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Workstreams and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 completion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 Mobilisation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 kick-off, governance, environment provisioning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17 October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 Integration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ERP (SAP) and telematics API connectors; data mapping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21 November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 Data migration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Migrate 24 months of movement and inventory data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December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 Configuration &amp; UAT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Configure dashboards, alerts; user acceptance testing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 December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5. Training &amp; go-live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Train 60 super-users; cutover to production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January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Customer dependencies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Timely provision of ERP and telematics API credentials and test data.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Nomination of a project sponsor and a technical lead with authority to make decisions.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Availability of site data owners for two configuration workshops per region.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Sign-off of UAT exit criteria within five business days of completion of UAT.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Charges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The implementation services are delivered for the fixed implementation fee of £120,000 set out in the Order Form. Out-of-scope change requests will be estimated and agreed in writing before being undertaken, charged at £1,100 per consultant-day.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Acceptance</w:t>
      </w:r>
    </w:p>
    <w:p>
      <w:pPr>
        <w:pStyle w:val="ListParagraph"/>
        <w:numPr>
          <w:ilvl w:val="1"/>
          <w:numId w:val="2"/>
        </w:numPr>
        <w:spacing w:after="120" w:line="276"/>
      </w:pPr>
      <w:r>
        <w:t xml:space="preserve">Go-live is deemed accepted when the production environment has operated for five consecutive business days without a Severity 1 incident, or on first productive use by the Customer, whichever is earlier.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40"/>
    </w:pPr>
    <w:r>
      <w:rPr>
        <w:color w:val="888888"/>
        <w:sz w:val="14"/>
        <w:szCs w:val="14"/>
      </w:rPr>
      <w:t xml:space="preserve">Meridian / Harcourt – Statement of Work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2026-06-30T11:15:50.655Z</dcterms:created>
  <dcterms:modified xsi:type="dcterms:W3CDTF">2026-06-30T11:15:50.655Z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