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00000"/>
          <w:sz w:val="20"/>
          <w:szCs w:val="20"/>
        </w:rPr>
        <w:t xml:space="preserve">PRIVILEGED &amp; CONFIDENTIAL — LEGAL ADVICE</w:t>
      </w:r>
    </w:p>
    <w:p>
      <w:pPr>
        <w:spacing w:after="200"/>
      </w:pPr>
      <w:r>
        <w:rPr>
          <w:b/>
          <w:bCs/>
          <w:sz w:val="30"/>
          <w:szCs w:val="30"/>
        </w:rPr>
        <w:t xml:space="preserve">ADVICE NOTE</w:t>
      </w:r>
    </w:p>
    <w:p>
      <w:pPr>
        <w:spacing w:after="120"/>
      </w:pPr>
      <w:r>
        <w:rPr>
          <w:b/>
          <w:bCs/>
        </w:rPr>
        <w:t xml:space="preserve">To:  </w:t>
      </w:r>
      <w:r>
        <w:t xml:space="preserve">Richard Pennington (CEO); Naomi Patel (Company Secretary); Yvette Marsh (HR Director)</w:t>
      </w:r>
    </w:p>
    <w:p>
      <w:pPr>
        <w:spacing w:after="120"/>
      </w:pPr>
      <w:r>
        <w:rPr>
          <w:b/>
          <w:bCs/>
        </w:rPr>
        <w:t xml:space="preserve">From:  </w:t>
      </w:r>
      <w:r>
        <w:t xml:space="preserve">Tom Gallagher / Sarah Whitfield, Whitfield Carter LLP</w:t>
      </w:r>
    </w:p>
    <w:p>
      <w:pPr>
        <w:spacing w:after="120"/>
      </w:pPr>
      <w:r>
        <w:rPr>
          <w:b/>
          <w:bCs/>
        </w:rPr>
        <w:t xml:space="preserve">Date:  </w:t>
      </w:r>
      <w:r>
        <w:t xml:space="preserve">19 February 2025</w:t>
      </w:r>
    </w:p>
    <w:p>
      <w:pPr>
        <w:spacing w:after="120"/>
      </w:pPr>
      <w:r>
        <w:rPr>
          <w:b/>
          <w:bCs/>
        </w:rPr>
        <w:t xml:space="preserve">Re:  </w:t>
      </w:r>
      <w:r>
        <w:t xml:space="preserve">D Garrety — merits, risk and recommended settlement strategy</w:t>
      </w:r>
    </w:p>
    <w:p>
      <w:pPr>
        <w:pBdr>
          <w:bottom w:val="single" w:color="BFBFBF" w:sz="4" w:space="1"/>
        </w:pBdr>
      </w:pPr>
    </w:p>
    <w:p>
      <w:pPr>
        <w:pStyle w:val="Heading1"/>
      </w:pPr>
      <w:r>
        <w:t xml:space="preserve">1. Executive summary</w:t>
      </w:r>
    </w:p>
    <w:p>
      <w:pPr>
        <w:spacing w:after="120"/>
      </w:pPr>
      <w:r>
        <w:t xml:space="preserve">Mr Garrety has raised a grievance alleging protected-disclosure detriment, automatic unfair dismissal and age discrimination. While the Company has good arguments on the merits, the whistleblowing and discrimination elements carry uncapped compensation and reputational risk. We recommend the Company seeks an agreed exit on commercial terms now, rather than implementing the restructuring and defending litigation. A total package in the region of £230,000–£240,000 gross is, in our view, a sensible settlement and below the Company’s realistic worst-case exposure.</w:t>
      </w:r>
    </w:p>
    <w:p>
      <w:pPr>
        <w:pStyle w:val="Heading1"/>
      </w:pPr>
      <w:r>
        <w:t xml:space="preserve">2. The claims and their value</w:t>
      </w:r>
    </w:p>
    <w:p>
      <w:pPr>
        <w:pStyle w:val="Heading2"/>
      </w:pPr>
      <w:r>
        <w:t xml:space="preserve">2.1 Automatic unfair dismissal (s.103A ERA 1996)</w:t>
      </w:r>
    </w:p>
    <w:p>
      <w:pPr>
        <w:spacing w:after="120"/>
      </w:pPr>
      <w:r>
        <w:t xml:space="preserve">If a tribunal found Mr Garrety was dismissed because he made protected disclosures, the dismissal would be automatically unfair and the statutory cap on the compensatory award would not apply. His gross annual remuneration package is approximately £190,000 including benefits. A future-loss award of 12–18 months is plausible for a 58-year-old senior executive, giving a realistic exposure of £190,000–£285,000 before mitigation, plus a basic award.</w:t>
      </w:r>
    </w:p>
    <w:p>
      <w:pPr>
        <w:pStyle w:val="Heading2"/>
      </w:pPr>
      <w:r>
        <w:t xml:space="preserve">2.2 Detriment for protected disclosure (s.47B)</w:t>
      </w:r>
    </w:p>
    <w:p>
      <w:pPr>
        <w:spacing w:after="120"/>
      </w:pPr>
      <w:r>
        <w:t xml:space="preserve">The detriment claim does not require dismissal and can include an award for injury to feelings (Vento middle-to-upper band, £10,000–£56,000). There is a genuine risk a tribunal would find that the exclusion from meetings and the failure to consult amounted to detriments.</w:t>
      </w:r>
    </w:p>
    <w:p>
      <w:pPr>
        <w:pStyle w:val="Heading2"/>
      </w:pPr>
      <w:r>
        <w:t xml:space="preserve">2.3 Age discrimination (Equality Act 2010)</w:t>
      </w:r>
    </w:p>
    <w:p>
      <w:pPr>
        <w:spacing w:after="120"/>
      </w:pPr>
      <w:r>
        <w:t xml:space="preserve">The allegation that the two restructured roles were earmarked for younger colleagues is the Company’s principal vulnerability. Discrimination compensation is uncapped and attracts injury-to-feelings awards. The evidential picture on who was considered for the new roles is, on the documents we have seen, unhelpful to the Company.</w:t>
      </w:r>
    </w:p>
    <w:p>
      <w:pPr>
        <w:pStyle w:val="Heading1"/>
      </w:pPr>
      <w:r>
        <w:t xml:space="preserve">3. Strengths of the Company’s position</w:t>
      </w:r>
    </w:p>
    <w:p>
      <w:pPr>
        <w:spacing w:after="120"/>
      </w:pPr>
      <w:r>
        <w:t xml:space="preserve">The operational review pre-dated the disclosures, which assists on causation. The disclosures are arguably not all “qualifying”, and the Dudley documentation issue appears to be a control failure rather than deliberate falsification. The Company can point to a genuine business rationale for consolidating the HR and operations functions.</w:t>
      </w:r>
    </w:p>
    <w:p>
      <w:pPr>
        <w:pStyle w:val="Heading1"/>
      </w:pPr>
      <w:r>
        <w:t xml:space="preserve">4. Recommended strategy</w:t>
      </w:r>
    </w:p>
    <w:p>
      <w:pPr>
        <w:spacing w:after="120"/>
      </w:pPr>
      <w:r>
        <w:t xml:space="preserve">We recommend: (a) issuing a measured grievance outcome that upholds the consultation/communication failings but rejects the sham-redundancy and discrimination allegations; (b) opening a protected conversation under s.111A ERA 1996 in parallel; and (c) offering a clean exit recorded in a settlement agreement with a robust full-and-final waiver, confidentiality, an agreed reference and reaffirmed restrictive covenants.</w:t>
      </w:r>
    </w:p>
    <w:p>
      <w:pPr>
        <w:pStyle w:val="Heading1"/>
      </w:pPr>
      <w:r>
        <w:t xml:space="preserve">5. Settlement structure</w:t>
      </w:r>
    </w:p>
    <w:p>
      <w:pPr>
        <w:spacing w:after="120"/>
      </w:pPr>
      <w:r>
        <w:t xml:space="preserve">We recommend the package is structured as: contractual PILON (taxable in full); statutory redundancy payment; and an ex-gratia compensation sum with the first £30,000 paid tax-free under ss.401–403 ITEPA 2003. Note that post-2018 the PILON must be taxed in full as post-employment notice pay (PENP). We will model the precise figures with the Company’s payroll team before the agreement is finalised.</w:t>
      </w:r>
    </w:p>
    <w:p>
      <w:pPr>
        <w:pStyle w:val="Heading1"/>
      </w:pPr>
      <w:r>
        <w:t xml:space="preserve">6. Next steps</w:t>
      </w:r>
    </w:p>
    <w:p>
      <w:pPr>
        <w:spacing w:after="120"/>
      </w:pPr>
      <w:r>
        <w:t xml:space="preserve">Subject to your approval, we will issue the grievance outcome on 24 February and the without-prejudice offer letter on 26 February, with a 14-day acceptance window. We will require board authority to settle up to a ceiling figure; we suggest seeking authority up to £245,000 gross to allow room to negotiate.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PRIVILEGED &amp; CONFIDENTIAL — subject to legal professional privilege.</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30"/>
        <w:szCs w:val="30"/>
      </w:rPr>
      <w:t xml:space="preserve">Whitfield Carter LLP</w:t>
    </w:r>
  </w:p>
  <w:p>
    <w:pPr>
      <w:jc w:val="right"/>
    </w:pPr>
    <w:r>
      <w:rPr>
        <w:color w:val="595959"/>
        <w:sz w:val="16"/>
        <w:szCs w:val="16"/>
      </w:rPr>
      <w:t xml:space="preserve">Solicitors  ·  22 Bishopsgate, London EC2N 4BQ</w:t>
    </w:r>
  </w:p>
  <w:p>
    <w:pPr>
      <w:jc w:val="right"/>
    </w:pPr>
    <w:r>
      <w:rPr>
        <w:color w:val="595959"/>
        <w:sz w:val="16"/>
        <w:szCs w:val="16"/>
      </w:rPr>
      <w:t xml:space="preserve">T +44 (0)20 7946 0820   ·   www.whitfieldcarter.com</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2026-06-27T14:42:02.425Z</dcterms:created>
  <dcterms:modified xsi:type="dcterms:W3CDTF">2026-06-27T14:42:02.425Z</dcterms:modified>
</cp:coreProperties>
</file>

<file path=docProps/custom.xml><?xml version="1.0" encoding="utf-8"?>
<Properties xmlns="http://schemas.openxmlformats.org/officeDocument/2006/custom-properties" xmlns:vt="http://schemas.openxmlformats.org/officeDocument/2006/docPropsVTypes"/>
</file>