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rPr>
        <w:t xml:space="preserve">IN THE EMPLOYMENT TRIBUNAL</w:t>
      </w:r>
    </w:p>
    <w:p>
      <w:pPr>
        <w:spacing w:after="200"/>
        <w:jc w:val="center"/>
      </w:pPr>
      <w:r>
        <w:rPr>
          <w:sz w:val="18"/>
          <w:szCs w:val="18"/>
        </w:rPr>
        <w:t xml:space="preserve">Case Number: to be allocated</w:t>
      </w:r>
    </w:p>
    <w:p>
      <w:r>
        <w:rPr>
          <w:b/>
          <w:bCs/>
        </w:rPr>
        <w:t xml:space="preserve">BETWEEN:</w:t>
      </w:r>
    </w:p>
    <w:p>
      <w:pPr>
        <w:spacing w:after="40"/>
        <w:jc w:val="center"/>
      </w:pPr>
      <w:r>
        <w:rPr>
          <w:b/>
          <w:bCs/>
        </w:rPr>
        <w:t xml:space="preserve">MR DAVID GARRETY</w:t>
      </w:r>
    </w:p>
    <w:p>
      <w:pPr>
        <w:spacing w:after="40"/>
        <w:jc w:val="center"/>
      </w:pPr>
      <w:r>
        <w:rPr>
          <w:i/>
          <w:iCs/>
        </w:rPr>
        <w:t xml:space="preserve">Claimant</w:t>
      </w:r>
    </w:p>
    <w:p>
      <w:pPr>
        <w:spacing w:after="40"/>
        <w:jc w:val="center"/>
      </w:pPr>
      <w:r>
        <w:t xml:space="preserve">– and –</w:t>
      </w:r>
    </w:p>
    <w:p>
      <w:pPr>
        <w:spacing w:after="40"/>
        <w:jc w:val="center"/>
      </w:pPr>
      <w:r>
        <w:rPr>
          <w:b/>
          <w:bCs/>
        </w:rPr>
        <w:t xml:space="preserve">PENNINGTON INDUSTRIES LIMITED</w:t>
      </w:r>
    </w:p>
    <w:p>
      <w:pPr>
        <w:spacing w:after="200"/>
        <w:jc w:val="center"/>
      </w:pPr>
      <w:r>
        <w:rPr>
          <w:i/>
          <w:iCs/>
        </w:rPr>
        <w:t xml:space="preserve">Respondent</w:t>
      </w:r>
    </w:p>
    <w:p>
      <w:pPr>
        <w:spacing w:after="200"/>
        <w:jc w:val="center"/>
      </w:pPr>
      <w:r>
        <w:rPr>
          <w:b/>
          <w:bCs/>
          <w:sz w:val="26"/>
          <w:szCs w:val="26"/>
        </w:rPr>
        <w:t xml:space="preserve">GROUNDS OF RESISTANCE (DRAFT)</w:t>
      </w:r>
    </w:p>
    <w:p>
      <w:pPr>
        <w:spacing w:after="120"/>
      </w:pPr>
      <w:r>
        <w:rPr>
          <w:b/>
          <w:bCs/>
          <w:i/>
          <w:iCs/>
        </w:rPr>
        <w:t xml:space="preserve">Note: </w:t>
      </w:r>
      <w:r>
        <w:rPr>
          <w:i/>
          <w:iCs/>
        </w:rPr>
        <w:t xml:space="preserve">This draft has been prepared on a contingency basis only, in case settlement is not reached. It is privileged and is not to be filed unless the Claimant issues proceedings.</w:t>
      </w:r>
    </w:p>
    <w:p>
      <w:pPr>
        <w:pStyle w:val="Heading2"/>
      </w:pPr>
      <w:r>
        <w:t xml:space="preserve">Introduction</w:t>
      </w:r>
    </w:p>
    <w:p>
      <w:pPr>
        <w:pStyle w:val="ListParagraph"/>
        <w:numPr>
          <w:ilvl w:val="0"/>
          <w:numId w:val="2"/>
        </w:numPr>
        <w:spacing w:after="100"/>
      </w:pPr>
      <w:r>
        <w:t xml:space="preserve">The Respondent is an industrial manufacturer. The Claimant was employed as Group HR &amp; Operations Director from 5 January 2012 until his proposed redundancy. The claims of automatic unfair dismissal, detriment for protected disclosure and age discrimination are denied in their entirety.</w:t>
      </w:r>
    </w:p>
    <w:p>
      <w:pPr>
        <w:pStyle w:val="Heading2"/>
      </w:pPr>
      <w:r>
        <w:t xml:space="preserve">The alleged protected disclosures</w:t>
      </w:r>
    </w:p>
    <w:p>
      <w:pPr>
        <w:pStyle w:val="ListParagraph"/>
        <w:numPr>
          <w:ilvl w:val="0"/>
          <w:numId w:val="2"/>
        </w:numPr>
        <w:spacing w:after="100"/>
      </w:pPr>
      <w:r>
        <w:t xml:space="preserve">It is admitted that the Claimant raised concerns in November and December 2024. It is denied that all of those communications were qualifying disclosures within section 43B of the Employment Rights Act 1996. The Respondent commissioned an independent review and found documentation-control failures but no deliberate falsification.</w:t>
      </w:r>
    </w:p>
    <w:p>
      <w:pPr>
        <w:pStyle w:val="Heading2"/>
      </w:pPr>
      <w:r>
        <w:t xml:space="preserve">Causation</w:t>
      </w:r>
    </w:p>
    <w:p>
      <w:pPr>
        <w:pStyle w:val="ListParagraph"/>
        <w:numPr>
          <w:ilvl w:val="0"/>
          <w:numId w:val="2"/>
        </w:numPr>
        <w:spacing w:after="100"/>
      </w:pPr>
      <w:r>
        <w:t xml:space="preserve">The operational review that led to the consolidation of the HR and operations functions pre-dated the Claimant’s communications, as the Respondent’s board papers demonstrate. The reason for the proposed dismissal was redundancy, a potentially fair reason, and not the making of any protected disclosure.</w:t>
      </w:r>
    </w:p>
    <w:p>
      <w:pPr>
        <w:pStyle w:val="Heading2"/>
      </w:pPr>
      <w:r>
        <w:t xml:space="preserve">Age discrimination</w:t>
      </w:r>
    </w:p>
    <w:p>
      <w:pPr>
        <w:pStyle w:val="ListParagraph"/>
        <w:numPr>
          <w:ilvl w:val="0"/>
          <w:numId w:val="2"/>
        </w:numPr>
        <w:spacing w:after="100"/>
      </w:pPr>
      <w:r>
        <w:t xml:space="preserve">It is denied that age played any part in the restructuring or the selection for the new roles. The selection criteria were objective and based on skills and experience required for the consolidated function.</w:t>
      </w:r>
    </w:p>
    <w:p>
      <w:pPr>
        <w:pStyle w:val="Heading2"/>
      </w:pPr>
      <w:r>
        <w:t xml:space="preserve">Remedy</w:t>
      </w:r>
    </w:p>
    <w:p>
      <w:pPr>
        <w:pStyle w:val="ListParagraph"/>
        <w:numPr>
          <w:ilvl w:val="0"/>
          <w:numId w:val="2"/>
        </w:numPr>
        <w:spacing w:after="100"/>
      </w:pPr>
      <w:r>
        <w:t xml:space="preserve">If (which is denied) any claim succeeds, the Respondent will say that the Claimant has failed to mitigate his loss and that any award should be reduced accordingly.</w:t>
      </w:r>
    </w:p>
    <w:p>
      <w:pPr>
        <w:spacing w:after="120"/>
      </w:pPr>
      <w:r>
        <w:t xml:space="preserve"> </w:t>
      </w:r>
    </w:p>
    <w:p>
      <w:pPr>
        <w:spacing w:after="120"/>
      </w:pPr>
      <w:r>
        <w:t xml:space="preserve">Statement of truth: The Respondent believes that the facts stated in these grounds of resistance are true.</w:t>
      </w:r>
    </w:p>
    <w:p>
      <w:pPr>
        <w:spacing w:after="120"/>
      </w:pPr>
      <w:r>
        <w:t xml:space="preserve">Signed: Whitfield Carter LLP, solicitors for the Respondent.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2026-06-27T14:42:02.456Z</dcterms:created>
  <dcterms:modified xsi:type="dcterms:W3CDTF">2026-06-27T14:42:02.456Z</dcterms:modified>
</cp:coreProperties>
</file>

<file path=docProps/custom.xml><?xml version="1.0" encoding="utf-8"?>
<Properties xmlns="http://schemas.openxmlformats.org/officeDocument/2006/custom-properties" xmlns:vt="http://schemas.openxmlformats.org/officeDocument/2006/docPropsVTypes"/>
</file>