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2"/>
          <w:szCs w:val="22"/>
        </w:rPr>
        <w:t xml:space="preserve">IN THE BUSINESS AND PROPERTY COURTS IN BIRMINGHAM</w:t>
      </w:r>
    </w:p>
    <w:p>
      <w:pPr>
        <w:spacing w:after="40" w:before="0"/>
        <w:jc w:val="center"/>
      </w:pPr>
      <w:r>
        <w:rPr>
          <w:b/>
          <w:bCs/>
          <w:sz w:val="22"/>
          <w:szCs w:val="22"/>
        </w:rPr>
        <w:t xml:space="preserve">CIRCUIT COMMERCIAL COURT (KBD)</w:t>
      </w:r>
    </w:p>
    <w:p>
      <w:pPr>
        <w:spacing w:after="120"/>
        <w:jc w:val="right"/>
      </w:pPr>
      <w:r>
        <w:rPr>
          <w:b/>
          <w:bCs/>
        </w:rPr>
        <w:t xml:space="preserve">Claim No. CC-2025-BHM-000142</w:t>
      </w:r>
    </w:p>
    <w:p>
      <w:pPr>
        <w:spacing w:after="80" w:before="0"/>
        <w:jc w:val="center"/>
      </w:pPr>
      <w:r>
        <w:rPr>
          <w:b w:val="false"/>
          <w:bCs w:val="false"/>
          <w:sz w:val="22"/>
          <w:szCs w:val="22"/>
        </w:rPr>
        <w:t xml:space="preserve">B E T W E E N :</w:t>
      </w:r>
    </w:p>
    <w:p>
      <w:pPr>
        <w:spacing w:after="20" w:before="0"/>
        <w:jc w:val="center"/>
      </w:pPr>
      <w:r>
        <w:rPr>
          <w:b/>
          <w:bCs/>
          <w:sz w:val="22"/>
          <w:szCs w:val="22"/>
        </w:rPr>
        <w:t xml:space="preserve">PENNINGTON INDUSTRIES LIMITED</w:t>
      </w:r>
    </w:p>
    <w:p>
      <w:pPr>
        <w:spacing w:after="80"/>
        <w:jc w:val="right"/>
      </w:pPr>
      <w:r>
        <w:rPr>
          <w:i/>
          <w:iCs/>
        </w:rPr>
        <w:t xml:space="preserve">Claimant</w:t>
      </w:r>
    </w:p>
    <w:p>
      <w:pPr>
        <w:spacing w:after="20" w:before="0"/>
        <w:jc w:val="center"/>
      </w:pPr>
      <w:r>
        <w:rPr>
          <w:b w:val="false"/>
          <w:bCs w:val="false"/>
          <w:sz w:val="22"/>
          <w:szCs w:val="22"/>
        </w:rPr>
        <w:t xml:space="preserve">- and -</w:t>
      </w:r>
    </w:p>
    <w:p>
      <w:pPr>
        <w:spacing w:after="20" w:before="0"/>
        <w:jc w:val="center"/>
      </w:pPr>
      <w:r>
        <w:rPr>
          <w:b/>
          <w:bCs/>
          <w:sz w:val="22"/>
          <w:szCs w:val="22"/>
        </w:rPr>
        <w:t xml:space="preserve">CROSSFIELD ENGINEERING LIMITED</w:t>
      </w:r>
    </w:p>
    <w:p>
      <w:pPr>
        <w:spacing w:after="160"/>
        <w:jc w:val="right"/>
      </w:pPr>
      <w:r>
        <w:rPr>
          <w:i/>
          <w:iCs/>
        </w:rPr>
        <w:t xml:space="preserve">Defendant</w:t>
      </w:r>
    </w:p>
    <w:p>
      <w:pPr>
        <w:pBdr>
          <w:top w:val="single" w:color="000000" w:sz="6" w:space="1"/>
          <w:bottom w:val="single" w:color="000000" w:sz="6" w:space="1"/>
        </w:pBdr>
        <w:spacing w:after="80"/>
        <w:jc w:val="center"/>
      </w:pPr>
      <w:r>
        <w:rPr>
          <w:b/>
          <w:bCs/>
          <w:sz w:val="24"/>
          <w:szCs w:val="24"/>
        </w:rPr>
        <w:t xml:space="preserve">DEFENCE</w:t>
      </w:r>
    </w:p>
    <w:p>
      <w:pPr>
        <w:spacing w:after="120"/>
      </w:pPr>
      <w:r>
        <w:t xml:space="preserve"/>
      </w:r>
    </w:p>
    <w:p>
      <w:pPr>
        <w:spacing w:after="160" w:before="0" w:line="276"/>
      </w:pPr>
      <w:r>
        <w:t xml:space="preserve">Save where expressly admitted, the Defendant denies each and every allegation in the Particulars of Claim as if the same were set out and traversed seriatim.</w:t>
      </w:r>
    </w:p>
    <w:p>
      <w:pPr>
        <w:pStyle w:val="ListParagraph"/>
        <w:numPr>
          <w:ilvl w:val="0"/>
          <w:numId w:val="2"/>
        </w:numPr>
        <w:spacing w:after="140" w:line="276"/>
      </w:pPr>
      <w:r>
        <w:t xml:space="preserve">Paragraphs 1 and 2 are admitted.</w:t>
      </w:r>
    </w:p>
    <w:p>
      <w:pPr>
        <w:pStyle w:val="ListParagraph"/>
        <w:numPr>
          <w:ilvl w:val="0"/>
          <w:numId w:val="2"/>
        </w:numPr>
        <w:spacing w:after="140" w:line="276"/>
      </w:pPr>
      <w:r>
        <w:t xml:space="preserve">Paragraph 3 is admitted, save that it is averred that the scope of the Defendant’s obligations is to be determined by reference to the Agreement read as a whole, including clause 11 (limitation of liability) and the course of dealing between the parties as to specification and sample approval.</w:t>
      </w:r>
    </w:p>
    <w:p>
      <w:pPr>
        <w:pStyle w:val="ListParagraph"/>
        <w:numPr>
          <w:ilvl w:val="0"/>
          <w:numId w:val="2"/>
        </w:numPr>
        <w:spacing w:after="140" w:line="276"/>
      </w:pPr>
      <w:r>
        <w:t xml:space="preserve">As to paragraph 4:</w:t>
      </w:r>
    </w:p>
    <w:p>
      <w:pPr>
        <w:pStyle w:val="ListParagraph"/>
        <w:numPr>
          <w:ilvl w:val="2"/>
          <w:numId w:val="2"/>
        </w:numPr>
        <w:spacing w:after="140" w:line="276"/>
      </w:pPr>
      <w:r>
        <w:t xml:space="preserve">it is admitted that the Technical Specification at Schedule 1 referred to grade 316L stainless steel;</w:t>
      </w:r>
    </w:p>
    <w:p>
      <w:pPr>
        <w:pStyle w:val="ListParagraph"/>
        <w:numPr>
          <w:ilvl w:val="2"/>
          <w:numId w:val="2"/>
        </w:numPr>
        <w:spacing w:after="140" w:line="276"/>
      </w:pPr>
      <w:r>
        <w:t xml:space="preserve">however, it is averred that in the course of the first-article approval process in February and March 2024 the Claimant’s engineering team approved samples produced by the Defendant on a value-engineered basis, and that the material grade actually to be used was the subject of agreement or estoppel between the parties. The Defendant will rely on the email correspondence of 21–28 February 2024 and on the signed first-article inspection report dated 6 March 2024;</w:t>
      </w:r>
    </w:p>
    <w:p>
      <w:pPr>
        <w:pStyle w:val="ListParagraph"/>
        <w:numPr>
          <w:ilvl w:val="2"/>
          <w:numId w:val="2"/>
        </w:numPr>
        <w:spacing w:after="140" w:line="276"/>
      </w:pPr>
      <w:r>
        <w:t xml:space="preserve">clauses 7.1 to 7.3 are admitted as terms of the Agreement but their effect is subject to clause 11; and</w:t>
      </w:r>
    </w:p>
    <w:p>
      <w:pPr>
        <w:pStyle w:val="ListParagraph"/>
        <w:numPr>
          <w:ilvl w:val="2"/>
          <w:numId w:val="2"/>
        </w:numPr>
        <w:spacing w:after="140" w:line="276"/>
      </w:pPr>
      <w:r>
        <w:t xml:space="preserve">clause 12 is admitted.</w:t>
      </w:r>
    </w:p>
    <w:p>
      <w:pPr>
        <w:pStyle w:val="ListParagraph"/>
        <w:numPr>
          <w:ilvl w:val="0"/>
          <w:numId w:val="2"/>
        </w:numPr>
        <w:spacing w:after="140" w:line="276"/>
      </w:pPr>
      <w:r>
        <w:t xml:space="preserve">As to paragraph 6, it is denied that the implied terms alleged were breached. Further or alternatively, the implied terms are to be read subject to the express terms of the Agreement and to clause 11.</w:t>
      </w:r>
    </w:p>
    <w:p>
      <w:pPr>
        <w:pStyle w:val="ListParagraph"/>
        <w:numPr>
          <w:ilvl w:val="0"/>
          <w:numId w:val="2"/>
        </w:numPr>
        <w:spacing w:after="140" w:line="276"/>
      </w:pPr>
      <w:r>
        <w:t xml:space="preserve">Paragraph 7 is admitted as to the quantity delivered and the sums paid. It is averred that the total charges paid under the Agreement were £214,830.</w:t>
      </w:r>
    </w:p>
    <w:p>
      <w:pPr>
        <w:pStyle w:val="ListParagraph"/>
        <w:numPr>
          <w:ilvl w:val="0"/>
          <w:numId w:val="2"/>
        </w:numPr>
        <w:spacing w:after="140" w:line="276"/>
      </w:pPr>
      <w:r>
        <w:t xml:space="preserve">As to paragraphs 8 to 10 (the alleged defects):</w:t>
      </w:r>
    </w:p>
    <w:p>
      <w:pPr>
        <w:pStyle w:val="ListParagraph"/>
        <w:numPr>
          <w:ilvl w:val="2"/>
          <w:numId w:val="2"/>
        </w:numPr>
        <w:spacing w:after="140" w:line="276"/>
      </w:pPr>
      <w:r>
        <w:t xml:space="preserve">the Defendant has no knowledge of the field reports alleged and does not admit them;</w:t>
      </w:r>
    </w:p>
    <w:p>
      <w:pPr>
        <w:pStyle w:val="ListParagraph"/>
        <w:numPr>
          <w:ilvl w:val="2"/>
          <w:numId w:val="2"/>
        </w:numPr>
        <w:spacing w:after="140" w:line="276"/>
      </w:pPr>
      <w:r>
        <w:t xml:space="preserve">the Wraysbury Materials Laboratory report is not admitted. It was obtained unilaterally, without notice to the Defendant, on a sample selected by the Claimant, and on housings whose provenance, storage and handling since delivery cannot be verified. The Defendant reserves the right to adduce its own expert metallurgical evidence;</w:t>
      </w:r>
    </w:p>
    <w:p>
      <w:pPr>
        <w:pStyle w:val="ListParagraph"/>
        <w:numPr>
          <w:ilvl w:val="2"/>
          <w:numId w:val="2"/>
        </w:numPr>
        <w:spacing w:after="140" w:line="276"/>
      </w:pPr>
      <w:r>
        <w:t xml:space="preserve">it is denied that there was any systemic substitution of grade 430 for grade 316L steel. The Defendant’s machining and inspection records will show that material was drawn from certificated stock; and</w:t>
      </w:r>
    </w:p>
    <w:p>
      <w:pPr>
        <w:pStyle w:val="ListParagraph"/>
        <w:numPr>
          <w:ilvl w:val="2"/>
          <w:numId w:val="2"/>
        </w:numPr>
        <w:spacing w:after="140" w:line="276"/>
      </w:pPr>
      <w:r>
        <w:t xml:space="preserve">it is denied that any Housing was supplied outside the contractual tolerance to any material extent.</w:t>
      </w:r>
    </w:p>
    <w:p>
      <w:pPr>
        <w:pStyle w:val="ListParagraph"/>
        <w:numPr>
          <w:ilvl w:val="0"/>
          <w:numId w:val="2"/>
        </w:numPr>
        <w:spacing w:after="140" w:line="276"/>
      </w:pPr>
      <w:r>
        <w:t xml:space="preserve">As to paragraph 11 (breach), the alleged breaches are denied for the reasons given above.</w:t>
      </w:r>
    </w:p>
    <w:p>
      <w:pPr>
        <w:pStyle w:val="ListParagraph"/>
        <w:numPr>
          <w:ilvl w:val="0"/>
          <w:numId w:val="2"/>
        </w:numPr>
        <w:spacing w:after="140" w:line="276"/>
      </w:pPr>
      <w:r>
        <w:t xml:space="preserve">As to paragraphs 12 and 13 (causation and loss):</w:t>
      </w:r>
    </w:p>
    <w:p>
      <w:pPr>
        <w:pStyle w:val="ListParagraph"/>
        <w:numPr>
          <w:ilvl w:val="2"/>
          <w:numId w:val="2"/>
        </w:numPr>
        <w:spacing w:after="140" w:line="276"/>
      </w:pPr>
      <w:r>
        <w:t xml:space="preserve">causation is denied. If and insofar as any PX-series pump failed in service (which is not admitted), such failure was caused or contributed to by the Claimant’s own acts, namely (i) a change made by the Claimant in or about June 2024 to the assembly torque values and seal arrangement of the PX-series pump, and (ii) the operation of the pumps in service conditions outside the design envelope;</w:t>
      </w:r>
    </w:p>
    <w:p>
      <w:pPr>
        <w:pStyle w:val="ListParagraph"/>
        <w:numPr>
          <w:ilvl w:val="2"/>
          <w:numId w:val="2"/>
        </w:numPr>
        <w:spacing w:after="140" w:line="276"/>
      </w:pPr>
      <w:r>
        <w:t xml:space="preserve">the Claimant’s loss is not admitted and the Claimant is put to strict proof of each head of loss and of the reasonableness of the alleged replacement premium;</w:t>
      </w:r>
    </w:p>
    <w:p>
      <w:pPr>
        <w:pStyle w:val="ListParagraph"/>
        <w:numPr>
          <w:ilvl w:val="2"/>
          <w:numId w:val="2"/>
        </w:numPr>
        <w:spacing w:after="140" w:line="276"/>
      </w:pPr>
      <w:r>
        <w:t xml:space="preserve">it is denied that the Claimant took reasonable steps to mitigate its loss; and</w:t>
      </w:r>
    </w:p>
    <w:p>
      <w:pPr>
        <w:pStyle w:val="ListParagraph"/>
        <w:numPr>
          <w:ilvl w:val="2"/>
          <w:numId w:val="2"/>
        </w:numPr>
        <w:spacing w:after="140" w:line="276"/>
      </w:pPr>
      <w:r>
        <w:t xml:space="preserve">the Claimant is put to proof that it did not continue to ship product incorporating the Housings during the relevant period.</w:t>
      </w:r>
    </w:p>
    <w:p>
      <w:pPr>
        <w:spacing w:after="160" w:before="0" w:line="276"/>
      </w:pPr>
      <w:r>
        <w:rPr>
          <w:b/>
          <w:bCs/>
        </w:rPr>
        <w:t xml:space="preserve">Limitation and Exclusion of Liability</w:t>
      </w:r>
    </w:p>
    <w:p>
      <w:pPr>
        <w:pStyle w:val="ListParagraph"/>
        <w:numPr>
          <w:ilvl w:val="0"/>
          <w:numId w:val="2"/>
        </w:numPr>
        <w:spacing w:after="140" w:line="276"/>
      </w:pPr>
      <w:r>
        <w:t xml:space="preserve">Without prejudice to the foregoing denials, the Defendant relies upon clause 11 of the Agreement, the material terms of which are:</w:t>
      </w:r>
    </w:p>
    <w:p>
      <w:pPr>
        <w:pStyle w:val="ListParagraph"/>
        <w:numPr>
          <w:ilvl w:val="2"/>
          <w:numId w:val="2"/>
        </w:numPr>
        <w:spacing w:after="140" w:line="276"/>
      </w:pPr>
      <w:r>
        <w:t xml:space="preserve">by clause 11.2, the Defendant is not liable, whether in contract, tort (including negligence) or otherwise, for any loss of profit, loss of production, loss of business or any indirect or consequential loss; and</w:t>
      </w:r>
    </w:p>
    <w:p>
      <w:pPr>
        <w:pStyle w:val="ListParagraph"/>
        <w:numPr>
          <w:ilvl w:val="2"/>
          <w:numId w:val="2"/>
        </w:numPr>
        <w:spacing w:after="140" w:line="276"/>
      </w:pPr>
      <w:r>
        <w:t xml:space="preserve">by clause 11.3, the Defendant’s aggregate liability arising under or in connection with the Agreement is limited to the total charges paid by the Claimant under the Agreement, namely £214,830.</w:t>
      </w:r>
    </w:p>
    <w:p>
      <w:pPr>
        <w:pStyle w:val="ListParagraph"/>
        <w:numPr>
          <w:ilvl w:val="0"/>
          <w:numId w:val="2"/>
        </w:numPr>
        <w:spacing w:after="140" w:line="276"/>
      </w:pPr>
      <w:r>
        <w:t xml:space="preserve">Accordingly, even if the Defendant were liable (which is denied), the heads of loss claimed for lost production (£742,000) and any other indirect or consequential loss are irrecoverable, and the Defendant’s total liability is in any event capped at £214,830.</w:t>
      </w:r>
    </w:p>
    <w:p>
      <w:pPr>
        <w:spacing w:after="160" w:before="0" w:line="276"/>
      </w:pPr>
      <w:r>
        <w:rPr>
          <w:b/>
          <w:bCs/>
        </w:rPr>
        <w:t xml:space="preserve">Interest</w:t>
      </w:r>
    </w:p>
    <w:p>
      <w:pPr>
        <w:pStyle w:val="ListParagraph"/>
        <w:numPr>
          <w:ilvl w:val="0"/>
          <w:numId w:val="2"/>
        </w:numPr>
        <w:spacing w:after="140" w:line="276"/>
      </w:pPr>
      <w:r>
        <w:t xml:space="preserve">It is denied that the Claimant is entitled to the interest claimed or to any interest.</w:t>
      </w:r>
    </w:p>
    <w:p>
      <w:pPr>
        <w:pStyle w:val="ListParagraph"/>
        <w:numPr>
          <w:ilvl w:val="0"/>
          <w:numId w:val="2"/>
        </w:numPr>
        <w:spacing w:after="140" w:line="276"/>
      </w:pPr>
      <w:r>
        <w:t xml:space="preserve">Save as expressly admitted, each and every allegation in the Particulars of Claim is denied.</w:t>
      </w:r>
    </w:p>
    <w:p>
      <w:pPr>
        <w:spacing w:after="120"/>
      </w:pPr>
      <w:r>
        <w:t xml:space="preserve"/>
      </w:r>
    </w:p>
    <w:p>
      <w:pPr>
        <w:spacing w:after="160" w:before="0" w:line="276"/>
      </w:pPr>
      <w:r>
        <w:rPr>
          <w:b/>
          <w:bCs/>
        </w:rPr>
        <w:t xml:space="preserve">STATEMENT OF TRUTH</w:t>
      </w:r>
    </w:p>
    <w:p>
      <w:pPr>
        <w:spacing w:after="160" w:before="0" w:line="276"/>
      </w:pPr>
      <w:r>
        <w:t xml:space="preserve">The Defendant believes that the facts stated in this Defence are true. The Defendant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160" w:before="0" w:line="276"/>
      </w:pPr>
      <w:r>
        <w:t xml:space="preserve">Signed: ……………………………………………</w:t>
      </w:r>
    </w:p>
    <w:p>
      <w:pPr>
        <w:spacing w:after="160" w:before="0" w:line="276"/>
      </w:pPr>
      <w:r>
        <w:t xml:space="preserve">Name: Deepa Patel</w:t>
      </w:r>
    </w:p>
    <w:p>
      <w:pPr>
        <w:spacing w:after="160" w:before="0" w:line="276"/>
      </w:pPr>
      <w:r>
        <w:t xml:space="preserve">Position: Partner</w:t>
      </w:r>
    </w:p>
    <w:p>
      <w:pPr>
        <w:spacing w:after="160" w:before="0" w:line="276"/>
      </w:pPr>
      <w:r>
        <w:t xml:space="preserve">Calderbank Hughes LLP, solicitors for the Claimant</w:t>
      </w:r>
    </w:p>
    <w:p>
      <w:pPr>
        <w:spacing w:after="160" w:before="0" w:line="276"/>
      </w:pPr>
      <w:r>
        <w:t xml:space="preserve">Dated: 25 March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color w:val="777777"/>
        <w:sz w:val="14"/>
        <w:szCs w:val="14"/>
      </w:rPr>
      <w:t xml:space="preserve">Whitfield Carter LLP, a limited liability partnership registered in England &amp; Wales (OC418827).</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rPr>
        <w:b/>
        <w:bCs/>
      </w:rPr>
    </w:lvl>
    <w:lvl w:ilvl="1" w15:tentative="1">
      <w:start w:val="1"/>
      <w:numFmt w:val="decimal"/>
      <w:lvlText w:val="%1.%2"/>
      <w:lvlJc w:val="left"/>
      <w:pPr>
        <w:ind w:left="960" w:hanging="480"/>
      </w:pPr>
    </w:lvl>
    <w:lvl w:ilvl="2" w15:tentative="1">
      <w:start w:val="1"/>
      <w:numFmt w:val="lowerLetter"/>
      <w:lvlText w:val="(%3)"/>
      <w:lvlJc w:val="left"/>
      <w:pPr>
        <w:ind w:left="1440" w:hanging="480"/>
      </w:pPr>
    </w:lvl>
    <w:lvl w:ilvl="3" w15:tentative="1">
      <w:start w:val="1"/>
      <w:numFmt w:val="lowerRoman"/>
      <w:lvlText w:val="(%4)"/>
      <w:lvlJc w:val="left"/>
      <w:pPr>
        <w:ind w:left="19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8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2026-06-10T21:11:00.682Z</dcterms:created>
  <dcterms:modified xsi:type="dcterms:W3CDTF">2026-06-10T21:11:00.682Z</dcterms:modified>
</cp:coreProperties>
</file>

<file path=docProps/custom.xml><?xml version="1.0" encoding="utf-8"?>
<Properties xmlns="http://schemas.openxmlformats.org/officeDocument/2006/custom-properties" xmlns:vt="http://schemas.openxmlformats.org/officeDocument/2006/docPropsVTypes"/>
</file>