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b/>
          <w:bCs/>
          <w:sz w:val="22"/>
          <w:szCs w:val="22"/>
        </w:rPr>
        <w:t xml:space="preserve">IN THE BUSINESS AND PROPERTY COURTS IN BIRMINGHAM</w:t>
      </w:r>
    </w:p>
    <w:p>
      <w:pPr>
        <w:spacing w:after="40" w:before="0"/>
        <w:jc w:val="center"/>
      </w:pPr>
      <w:r>
        <w:rPr>
          <w:b/>
          <w:bCs/>
          <w:sz w:val="22"/>
          <w:szCs w:val="22"/>
        </w:rPr>
        <w:t xml:space="preserve">CIRCUIT COMMERCIAL COURT (KBD)</w:t>
      </w:r>
    </w:p>
    <w:p>
      <w:pPr>
        <w:spacing w:after="120"/>
        <w:jc w:val="right"/>
      </w:pPr>
      <w:r>
        <w:rPr>
          <w:b/>
          <w:bCs/>
        </w:rPr>
        <w:t xml:space="preserve">Claim No. CC-2025-BHM-000142</w:t>
      </w:r>
    </w:p>
    <w:p>
      <w:pPr>
        <w:spacing w:after="80" w:before="0"/>
        <w:jc w:val="center"/>
      </w:pPr>
      <w:r>
        <w:rPr>
          <w:b w:val="false"/>
          <w:bCs w:val="false"/>
          <w:sz w:val="22"/>
          <w:szCs w:val="22"/>
        </w:rPr>
        <w:t xml:space="preserve">B E T W E E N :</w:t>
      </w:r>
    </w:p>
    <w:p>
      <w:pPr>
        <w:spacing w:after="20" w:before="0"/>
        <w:jc w:val="center"/>
      </w:pPr>
      <w:r>
        <w:rPr>
          <w:b/>
          <w:bCs/>
          <w:sz w:val="22"/>
          <w:szCs w:val="22"/>
        </w:rPr>
        <w:t xml:space="preserve">PENNINGTON INDUSTRIES LIMITED</w:t>
      </w:r>
    </w:p>
    <w:p>
      <w:pPr>
        <w:spacing w:after="60"/>
        <w:jc w:val="right"/>
      </w:pPr>
      <w:r>
        <w:rPr>
          <w:i/>
          <w:iCs/>
        </w:rPr>
        <w:t xml:space="preserve">Claimant</w:t>
      </w:r>
    </w:p>
    <w:p>
      <w:pPr>
        <w:spacing w:after="20" w:before="0"/>
        <w:jc w:val="center"/>
      </w:pPr>
      <w:r>
        <w:rPr>
          <w:b w:val="false"/>
          <w:bCs w:val="false"/>
          <w:sz w:val="22"/>
          <w:szCs w:val="22"/>
        </w:rPr>
        <w:t xml:space="preserve">- and -</w:t>
      </w:r>
    </w:p>
    <w:p>
      <w:pPr>
        <w:spacing w:after="20" w:before="0"/>
        <w:jc w:val="center"/>
      </w:pPr>
      <w:r>
        <w:rPr>
          <w:b/>
          <w:bCs/>
          <w:sz w:val="22"/>
          <w:szCs w:val="22"/>
        </w:rPr>
        <w:t xml:space="preserve">CROSSFIELD ENGINEERING LIMITED</w:t>
      </w:r>
    </w:p>
    <w:p>
      <w:pPr>
        <w:spacing w:after="160"/>
        <w:jc w:val="right"/>
      </w:pPr>
      <w:r>
        <w:rPr>
          <w:i/>
          <w:iCs/>
        </w:rPr>
        <w:t xml:space="preserve">Defendant</w:t>
      </w:r>
    </w:p>
    <w:p>
      <w:pPr>
        <w:spacing w:after="20"/>
        <w:jc w:val="right"/>
      </w:pPr>
      <w:r>
        <w:rPr>
          <w:sz w:val="18"/>
          <w:szCs w:val="18"/>
        </w:rPr>
        <w:t xml:space="preserve">Claimant: Pennington Industries Limited</w:t>
      </w:r>
    </w:p>
    <w:p>
      <w:pPr>
        <w:spacing w:after="20"/>
        <w:jc w:val="right"/>
      </w:pPr>
      <w:r>
        <w:rPr>
          <w:sz w:val="18"/>
          <w:szCs w:val="18"/>
        </w:rPr>
        <w:t xml:space="preserve">Witness: H Doyle</w:t>
      </w:r>
    </w:p>
    <w:p>
      <w:pPr>
        <w:spacing w:after="20"/>
        <w:jc w:val="right"/>
      </w:pPr>
      <w:r>
        <w:rPr>
          <w:sz w:val="18"/>
          <w:szCs w:val="18"/>
        </w:rPr>
        <w:t xml:space="preserve">Statement: First</w:t>
      </w:r>
    </w:p>
    <w:p>
      <w:pPr>
        <w:spacing w:after="120"/>
        <w:jc w:val="right"/>
      </w:pPr>
      <w:r>
        <w:rPr>
          <w:sz w:val="18"/>
          <w:szCs w:val="18"/>
        </w:rPr>
        <w:t xml:space="preserve">Exhibit: “HD1”</w:t>
      </w:r>
    </w:p>
    <w:p>
      <w:pPr>
        <w:pBdr>
          <w:top w:val="single" w:color="000000" w:sz="6" w:space="1"/>
          <w:bottom w:val="single" w:color="000000" w:sz="6" w:space="1"/>
        </w:pBdr>
        <w:spacing w:after="120"/>
        <w:jc w:val="center"/>
      </w:pPr>
      <w:r>
        <w:rPr>
          <w:b/>
          <w:bCs/>
          <w:sz w:val="24"/>
          <w:szCs w:val="24"/>
        </w:rPr>
        <w:t xml:space="preserve">FIRST WITNESS STATEMENT OF HENRY DOYLE</w:t>
      </w:r>
    </w:p>
    <w:p>
      <w:pPr>
        <w:spacing w:after="160" w:before="0" w:line="276"/>
      </w:pPr>
      <w:r>
        <w:t xml:space="preserve">I, HENRY DOYLE, of Pennington Industries Limited, 14 Faraday Court, Aston, Birmingham B7 4AA, WILL SAY as follows:</w:t>
      </w:r>
    </w:p>
    <w:p>
      <w:pPr>
        <w:spacing w:after="160" w:before="0" w:line="276"/>
      </w:pPr>
      <w:r>
        <w:rPr>
          <w:b/>
          <w:bCs/>
        </w:rPr>
        <w:t xml:space="preserve">Introduction</w:t>
      </w:r>
    </w:p>
    <w:p>
      <w:pPr>
        <w:pStyle w:val="ListParagraph"/>
        <w:numPr>
          <w:ilvl w:val="0"/>
          <w:numId w:val="2"/>
        </w:numPr>
        <w:spacing w:after="140" w:line="276"/>
      </w:pPr>
      <w:r>
        <w:t xml:space="preserve">I am the Operations Director of the Claimant, Pennington Industries Limited (“Pennington”). I have held that position since 2019 and have overall responsibility for Pennington’s manufacturing operations, including the assembly of the PX-series pumps to which this claim relates. I am authorised to make this statement on Pennington’s behalf.</w:t>
      </w:r>
    </w:p>
    <w:p>
      <w:pPr>
        <w:pStyle w:val="ListParagraph"/>
        <w:numPr>
          <w:ilvl w:val="0"/>
          <w:numId w:val="2"/>
        </w:numPr>
        <w:spacing w:after="140" w:line="276"/>
      </w:pPr>
      <w:r>
        <w:t xml:space="preserve">The facts set out in this statement are within my own knowledge, save where I indicate otherwise, in which case I give the source of my information and belief. Where I refer to documents, they are contained in the exhibit marked “HD1”, to which I refer by page number in the form [HD1/__].</w:t>
      </w:r>
    </w:p>
    <w:p>
      <w:pPr>
        <w:pStyle w:val="ListParagraph"/>
        <w:numPr>
          <w:ilvl w:val="0"/>
          <w:numId w:val="2"/>
        </w:numPr>
        <w:spacing w:after="140" w:line="276"/>
      </w:pPr>
      <w:r>
        <w:t xml:space="preserve">I make this statement in support of Pennington’s claim against Crossfield Engineering Limited (“Crossfield”) for losses arising from the supply of defective PX-440 impeller housings (the “Housings”).</w:t>
      </w:r>
    </w:p>
    <w:p>
      <w:pPr>
        <w:spacing w:after="160" w:before="0" w:line="276"/>
      </w:pPr>
      <w:r>
        <w:rPr>
          <w:b/>
          <w:bCs/>
        </w:rPr>
        <w:t xml:space="preserve">The supply arrangement</w:t>
      </w:r>
    </w:p>
    <w:p>
      <w:pPr>
        <w:pStyle w:val="ListParagraph"/>
        <w:numPr>
          <w:ilvl w:val="0"/>
          <w:numId w:val="2"/>
        </w:numPr>
        <w:spacing w:after="140" w:line="276"/>
      </w:pPr>
      <w:r>
        <w:t xml:space="preserve">Pennington has manufactured industrial fluid-handling pumps for over thirty years. The PX-series is our principal product line for process and marine applications. A critical component of each pump is the impeller housing, which must be machined from grade 316L stainless steel because the pumps operate in chloride-bearing and corrosive environments where lesser grades corrode rapidly.</w:t>
      </w:r>
    </w:p>
    <w:p>
      <w:pPr>
        <w:pStyle w:val="ListParagraph"/>
        <w:numPr>
          <w:ilvl w:val="0"/>
          <w:numId w:val="2"/>
        </w:numPr>
        <w:spacing w:after="140" w:line="276"/>
      </w:pPr>
      <w:r>
        <w:t xml:space="preserve">In early 2024 we placed our PX-440 housing requirement with Crossfield following a competitive sourcing exercise. The material requirement of grade 316L was, and always had been, fundamental; it appears in our drawing PX-440-03 Rev D and in the Technical Specification at Schedule 1 to the supply agreement dated 12 March 2024 [HD1/1–18].</w:t>
      </w:r>
    </w:p>
    <w:p>
      <w:pPr>
        <w:pStyle w:val="ListParagraph"/>
        <w:numPr>
          <w:ilvl w:val="0"/>
          <w:numId w:val="2"/>
        </w:numPr>
        <w:spacing w:after="140" w:line="276"/>
      </w:pPr>
      <w:r>
        <w:t xml:space="preserve">I have seen the suggestion in Crossfield’s correspondence that our engineers approved a “value-engineered” alternative grade during first-article approval. That is not correct. The first-article approval in March 2024 concerned dimensional conformity and surface finish; at no point did Pennington agree to any change of material grade away from 316L, and I am not aware of any document in which we did so.</w:t>
      </w:r>
    </w:p>
    <w:p>
      <w:pPr>
        <w:spacing w:after="160" w:before="0" w:line="276"/>
      </w:pPr>
      <w:r>
        <w:rPr>
          <w:b/>
          <w:bCs/>
        </w:rPr>
        <w:t xml:space="preserve">The failures in service</w:t>
      </w:r>
    </w:p>
    <w:p>
      <w:pPr>
        <w:pStyle w:val="ListParagraph"/>
        <w:numPr>
          <w:ilvl w:val="0"/>
          <w:numId w:val="2"/>
        </w:numPr>
        <w:spacing w:after="140" w:line="276"/>
      </w:pPr>
      <w:r>
        <w:t xml:space="preserve">Crossfield delivered 4,200 Housings between April and July 2024. From early August 2024 our service desk began to receive reports of PX-series pumps corroding and seizing in service, often within weeks of installation. This was wholly abnormal; our field-failure rate on this product line is ordinarily a fraction of one per cent over several years.</w:t>
      </w:r>
    </w:p>
    <w:p>
      <w:pPr>
        <w:pStyle w:val="ListParagraph"/>
        <w:numPr>
          <w:ilvl w:val="0"/>
          <w:numId w:val="2"/>
        </w:numPr>
        <w:spacing w:after="140" w:line="276"/>
      </w:pPr>
      <w:r>
        <w:t xml:space="preserve">I convened an internal investigation on 12 August 2024. We noticed that affected housings were weakly magnetic, which 316L should not be. That prompted us to quarantine all remaining Crossfield stock and to instruct Wraysbury Materials Laboratory to carry out independent testing.</w:t>
      </w:r>
    </w:p>
    <w:p>
      <w:pPr>
        <w:pStyle w:val="ListParagraph"/>
        <w:numPr>
          <w:ilvl w:val="0"/>
          <w:numId w:val="2"/>
        </w:numPr>
        <w:spacing w:after="140" w:line="276"/>
      </w:pPr>
      <w:r>
        <w:t xml:space="preserve">Wraysbury reported on 12 September 2024 [HD1/56–74]. They found that a substantial proportion of the Housings had been machined from grade 430 ferritic stainless steel rather than 316L, and that some were bored outside tolerance. Grade 430 has very poor resistance to the chloride corrosion our pumps encounter, which explained exactly the failures we were seeing.</w:t>
      </w:r>
    </w:p>
    <w:p>
      <w:pPr>
        <w:pStyle w:val="ListParagraph"/>
        <w:numPr>
          <w:ilvl w:val="0"/>
          <w:numId w:val="2"/>
        </w:numPr>
        <w:spacing w:after="140" w:line="276"/>
      </w:pPr>
      <w:r>
        <w:t xml:space="preserve">I should address Crossfield’s allegation that we changed the assembly torque values and seal arrangement in June 2024 and that this caused the failures. We did make a minor revision to the torque specification in June 2024, but it was within the design envelope and applied across all PX-series production, including pumps using compliant housings from other periods, none of which failed in this way. The common factor in the failures was always the Crossfield housings.</w:t>
      </w:r>
    </w:p>
    <w:p>
      <w:pPr>
        <w:spacing w:after="160" w:before="0" w:line="276"/>
      </w:pPr>
      <w:r>
        <w:rPr>
          <w:b/>
          <w:bCs/>
        </w:rPr>
        <w:t xml:space="preserve">The consequences for Pennington</w:t>
      </w:r>
    </w:p>
    <w:p>
      <w:pPr>
        <w:pStyle w:val="ListParagraph"/>
        <w:numPr>
          <w:ilvl w:val="0"/>
          <w:numId w:val="2"/>
        </w:numPr>
        <w:spacing w:after="140" w:line="276"/>
      </w:pPr>
      <w:r>
        <w:t xml:space="preserve">The impact on the business was severe. We had to: (a) halt Assembly Line 3 for approximately six weeks while we identified and removed non-conforming stock; (b) recall and rebuild pumps already shipped to customers; (c) source replacement conforming housings urgently from an alternative supplier, who could only meet our timescale at a significant premium; and (d) carry out extensive inspection and rework. The financial effect is set out in Pennington’s Schedule of Loss, which I have reviewed and believe to be accurate; the figures are drawn from our production, purchasing and finance records.</w:t>
      </w:r>
    </w:p>
    <w:p>
      <w:pPr>
        <w:pStyle w:val="ListParagraph"/>
        <w:numPr>
          <w:ilvl w:val="0"/>
          <w:numId w:val="2"/>
        </w:numPr>
        <w:spacing w:after="140" w:line="276"/>
      </w:pPr>
      <w:r>
        <w:t xml:space="preserve">The disruption also consumed a great deal of senior management and engineering time that would otherwise have been spent on production and on customer development. Our reputation with two long-standing customers was damaged and required considerable effort to repair.</w:t>
      </w:r>
    </w:p>
    <w:p>
      <w:pPr>
        <w:pStyle w:val="ListParagraph"/>
        <w:numPr>
          <w:ilvl w:val="0"/>
          <w:numId w:val="2"/>
        </w:numPr>
        <w:spacing w:after="140" w:line="276"/>
      </w:pPr>
      <w:r>
        <w:t xml:space="preserve">Throughout, Pennington acted to limit the damage. We prioritised the rebuild of affected customer units, communicated openly with the affected customers, and did not knowingly ship any pump containing a suspect housing once the problem was identified.</w:t>
      </w:r>
    </w:p>
    <w:p>
      <w:pPr>
        <w:spacing w:after="160" w:before="0" w:line="276"/>
      </w:pPr>
      <w:r>
        <w:rPr>
          <w:b/>
          <w:bCs/>
        </w:rPr>
        <w:t xml:space="preserve">Conclusion</w:t>
      </w:r>
    </w:p>
    <w:p>
      <w:pPr>
        <w:pStyle w:val="ListParagraph"/>
        <w:numPr>
          <w:ilvl w:val="0"/>
          <w:numId w:val="2"/>
        </w:numPr>
        <w:spacing w:after="140" w:line="276"/>
      </w:pPr>
      <w:r>
        <w:t xml:space="preserve">In my view this was a straightforward case of the wrong material being supplied. Had Crossfield supplied 316L as it was required to, none of this loss would have been incurred. I respectfully ask the Court to find for Pennington.</w:t>
      </w:r>
    </w:p>
    <w:p>
      <w:pPr>
        <w:spacing w:after="120"/>
      </w:pPr>
      <w:r>
        <w:t xml:space="preserve"/>
      </w:r>
    </w:p>
    <w:p>
      <w:pPr>
        <w:spacing w:after="160" w:before="0" w:line="276"/>
      </w:pPr>
      <w:r>
        <w:rPr>
          <w:b/>
          <w:bCs/>
        </w:rPr>
        <w:t xml:space="preserve">Statement of Truth</w:t>
      </w:r>
    </w:p>
    <w:p>
      <w:pPr>
        <w:spacing w:after="160" w:before="0" w:line="276"/>
      </w:pPr>
      <w:r>
        <w:t xml:space="preserve">I believe that the facts stated in this witness statement are true. I understand that proceedings for contempt of court may be brought against anyone who makes, or causes to be made, a false statement in a document verified by a statement of truth without an honest belief in its truth.</w:t>
      </w:r>
    </w:p>
    <w:p>
      <w:pPr>
        <w:spacing w:after="120"/>
      </w:pPr>
      <w:r>
        <w:t xml:space="preserve"/>
      </w:r>
    </w:p>
    <w:p>
      <w:pPr>
        <w:spacing w:after="160" w:before="0" w:line="276"/>
      </w:pPr>
      <w:r>
        <w:t xml:space="preserve">Signed: ……………………………………………</w:t>
      </w:r>
    </w:p>
    <w:p>
      <w:pPr>
        <w:spacing w:after="160" w:before="0" w:line="276"/>
      </w:pPr>
      <w:r>
        <w:t xml:space="preserve">HENRY DOYLE</w:t>
      </w:r>
    </w:p>
    <w:p>
      <w:pPr>
        <w:spacing w:after="160" w:before="0" w:line="276"/>
      </w:pPr>
      <w:r>
        <w:t xml:space="preserve">Dated: 30 May 2025</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1"/>
      </w:pBdr>
      <w:tabs>
        <w:tab w:val="right" w:pos="9026"/>
      </w:tabs>
      <w:spacing w:before="80"/>
    </w:pPr>
    <w:r>
      <w:rPr>
        <w:color w:val="777777"/>
        <w:sz w:val="14"/>
        <w:szCs w:val="14"/>
      </w:rPr>
      <w:t xml:space="preserve">Whitfield Carter LLP, a limited liability partnership registered in England &amp; Wales (OC418827).</w:t>
    </w:r>
    <w:r>
      <w:rPr>
        <w:color w:val="777777"/>
        <w:sz w:val="14"/>
        <w:szCs w:val="14"/>
      </w:rPr>
      <w:t xml:space="preserve">	Page </w:t>
    </w:r>
    <w:r>
      <w:rPr>
        <w:color w:val="777777"/>
        <w:sz w:val="14"/>
        <w:szCs w:val="14"/>
      </w:rPr>
      <w:fldChar w:fldCharType="begin"/>
      <w:instrText xml:space="preserve">PAGE</w:instrText>
      <w:fldChar w:fldCharType="separate"/>
      <w:fldChar w:fldCharType="end"/>
    </w:r>
    <w:r>
      <w:rPr>
        <w:color w:val="777777"/>
        <w:sz w:val="14"/>
        <w:szCs w:val="14"/>
      </w:rPr>
      <w:t xml:space="preserve"> of </w:t>
    </w:r>
    <w:r>
      <w:rPr>
        <w:color w:val="777777"/>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80" w:hanging="480"/>
      </w:pPr>
      <w:rPr>
        <w:b/>
        <w:bCs/>
      </w:rPr>
    </w:lvl>
    <w:lvl w:ilvl="1" w15:tentative="1">
      <w:start w:val="1"/>
      <w:numFmt w:val="decimal"/>
      <w:lvlText w:val="%1.%2"/>
      <w:lvlJc w:val="left"/>
      <w:pPr>
        <w:ind w:left="960" w:hanging="480"/>
      </w:pPr>
    </w:lvl>
    <w:lvl w:ilvl="2" w15:tentative="1">
      <w:start w:val="1"/>
      <w:numFmt w:val="lowerLetter"/>
      <w:lvlText w:val="(%3)"/>
      <w:lvlJc w:val="left"/>
      <w:pPr>
        <w:ind w:left="1440" w:hanging="480"/>
      </w:pPr>
    </w:lvl>
    <w:lvl w:ilvl="3" w15:tentative="1">
      <w:start w:val="1"/>
      <w:numFmt w:val="lowerRoman"/>
      <w:lvlText w:val="(%4)"/>
      <w:lvlJc w:val="left"/>
      <w:pPr>
        <w:ind w:left="1920" w:hanging="48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sz w:val="26"/>
      <w:szCs w:val="26"/>
    </w:rPr>
  </w:style>
  <w:style w:type="paragraph" w:styleId="Heading2">
    <w:name w:val="Heading 2"/>
    <w:basedOn w:val="Normal"/>
    <w:next w:val="Normal"/>
    <w:qFormat/>
    <w:pPr>
      <w:spacing w:after="80" w:before="180"/>
      <w:outlineLvl w:val="1"/>
    </w:pPr>
    <w:rPr>
      <w:rFonts w:ascii="Calibri" w:cs="Calibri" w:eastAsia="Calibri" w:hAnsi="Calibri"/>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2026-06-10T21:12:16.518Z</dcterms:created>
  <dcterms:modified xsi:type="dcterms:W3CDTF">2026-06-10T21:12:16.519Z</dcterms:modified>
</cp:coreProperties>
</file>

<file path=docProps/custom.xml><?xml version="1.0" encoding="utf-8"?>
<Properties xmlns="http://schemas.openxmlformats.org/officeDocument/2006/custom-properties" xmlns:vt="http://schemas.openxmlformats.org/officeDocument/2006/docPropsVTypes"/>
</file>