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right"/>
      </w:pPr>
      <w:r>
        <w:rPr>
          <w:b/>
          <w:bCs/>
          <w:color w:val="1F3864"/>
          <w:sz w:val="30"/>
          <w:szCs w:val="30"/>
        </w:rPr>
        <w:t xml:space="preserve">Whitfield Carter LLP</w:t>
      </w:r>
    </w:p>
    <w:p>
      <w:pPr>
        <w:spacing w:after="0"/>
        <w:jc w:val="right"/>
      </w:pPr>
      <w:r>
        <w:rPr>
          <w:color w:val="1F3864"/>
          <w:sz w:val="18"/>
          <w:szCs w:val="18"/>
        </w:rPr>
        <w:t xml:space="preserve">Solicitors</w:t>
      </w:r>
    </w:p>
    <w:p>
      <w:pPr>
        <w:spacing w:after="0"/>
        <w:jc w:val="right"/>
      </w:pPr>
      <w:r>
        <w:rPr>
          <w:sz w:val="18"/>
          <w:szCs w:val="18"/>
        </w:rPr>
        <w:t xml:space="preserve">22 Bishopsgate, London EC2N 4BQ</w:t>
      </w:r>
    </w:p>
    <w:p>
      <w:pPr>
        <w:spacing w:after="0"/>
        <w:jc w:val="right"/>
      </w:pPr>
      <w:r>
        <w:rPr>
          <w:sz w:val="18"/>
          <w:szCs w:val="18"/>
        </w:rPr>
        <w:t xml:space="preserve">DX 138760 Cheapside  |  +44 (0)20 7946 0991</w:t>
      </w:r>
    </w:p>
    <w:p>
      <w:pPr>
        <w:spacing w:after="120"/>
        <w:jc w:val="right"/>
      </w:pPr>
      <w:r>
        <w:rPr>
          <w:color w:val="1F3864"/>
          <w:sz w:val="18"/>
          <w:szCs w:val="18"/>
        </w:rPr>
        <w:t xml:space="preserve">www.whitfieldcarter.com</w:t>
      </w:r>
    </w:p>
    <w:p>
      <w:pPr>
        <w:pBdr>
          <w:bottom w:val="single" w:color="1F3864" w:sz="8" w:space="1"/>
        </w:pBdr>
        <w:spacing w:after="160"/>
      </w:pPr>
      <w:r>
        <w:t xml:space="preserve"/>
      </w:r>
    </w:p>
    <w:p>
      <w:pPr>
        <w:spacing w:after="60" w:before="0" w:line="276"/>
      </w:pPr>
      <w:r>
        <w:rPr>
          <w:b/>
          <w:bCs/>
        </w:rPr>
        <w:t xml:space="preserve">STRICTLY PRIVATE &amp; CONFIDENTIAL</w:t>
      </w:r>
    </w:p>
    <w:p>
      <w:pPr>
        <w:spacing w:after="160" w:before="0" w:line="276"/>
      </w:pPr>
      <w:r>
        <w:t xml:space="preserve">Ms Grace Underwood</w:t>
      </w:r>
    </w:p>
    <w:p>
      <w:pPr>
        <w:spacing w:after="160" w:before="0" w:line="276"/>
      </w:pPr>
      <w:r>
        <w:t xml:space="preserve">Group Finance Director</w:t>
      </w:r>
    </w:p>
    <w:p>
      <w:pPr>
        <w:spacing w:after="160" w:before="0" w:line="276"/>
      </w:pPr>
      <w:r>
        <w:t xml:space="preserve">Pennington Industries Limited</w:t>
      </w:r>
    </w:p>
    <w:p>
      <w:pPr>
        <w:spacing w:after="160" w:before="0" w:line="276"/>
      </w:pPr>
      <w:r>
        <w:t xml:space="preserve">14 Faraday Court, Aston, Birmingham B7 4AA</w:t>
      </w:r>
    </w:p>
    <w:p>
      <w:pPr>
        <w:spacing w:after="120"/>
      </w:pPr>
      <w:r>
        <w:t xml:space="preserve"/>
      </w:r>
    </w:p>
    <w:p>
      <w:pPr>
        <w:spacing w:after="40" w:before="0" w:line="276"/>
      </w:pPr>
      <w:r>
        <w:t xml:space="preserve">Our ref: SW/JO/PEN-0111   </w:t>
      </w:r>
    </w:p>
    <w:p>
      <w:pPr>
        <w:spacing w:after="160" w:before="0" w:line="276"/>
      </w:pPr>
      <w:r>
        <w:t xml:space="preserve">11 November 2024</w:t>
      </w:r>
    </w:p>
    <w:p>
      <w:pPr>
        <w:spacing w:after="120"/>
      </w:pPr>
      <w:r>
        <w:t xml:space="preserve"/>
      </w:r>
    </w:p>
    <w:p>
      <w:pPr>
        <w:spacing w:after="160" w:before="0" w:line="276"/>
      </w:pPr>
      <w:r>
        <w:t xml:space="preserve">Dear Grace</w:t>
      </w:r>
    </w:p>
    <w:p>
      <w:pPr>
        <w:spacing w:after="160" w:before="0" w:line="276"/>
      </w:pPr>
      <w:r>
        <w:rPr>
          <w:b/>
          <w:bCs/>
        </w:rPr>
        <w:t xml:space="preserve">Engagement: potential claim against Crossfield Engineering Limited — defective pump-housing components</w:t>
      </w:r>
    </w:p>
    <w:p>
      <w:pPr>
        <w:spacing w:after="160" w:before="0" w:line="276"/>
      </w:pPr>
      <w:r>
        <w:t xml:space="preserve">Thank you for instructing Whitfield Carter LLP in connection with the supply of non-conforming machined components by Crossfield Engineering Limited (“Crossfield”) under your supply agreement dated 12 March 2024, and the losses Pennington Industries Limited (“the Company”) has suffered as a result. This letter, together with our enclosed Terms of Business, sets out the basis on which we will act.</w:t>
      </w:r>
    </w:p>
    <w:p>
      <w:pPr>
        <w:pStyle w:val="Heading2"/>
      </w:pPr>
      <w:r>
        <w:t xml:space="preserve">1. Scope of our engagement</w:t>
      </w:r>
    </w:p>
    <w:p>
      <w:pPr>
        <w:spacing w:after="160" w:before="0" w:line="276"/>
      </w:pPr>
      <w:r>
        <w:t xml:space="preserve">We are instructed to advise the Company on the merits of a contractual claim against Crossfield, to take pre-action steps in accordance with the Practice Direction on Pre-Action Conduct, and, if the matter is not resolved, to prepare and conduct proceedings in the Business and Property Courts. Our retainer at this stage covers: (a) review of the supply agreement and the technical and quantum evidence; (b) preparation of a Letter Before Action; (c) advice on prospects and strategy, including instructing leading or junior counsel where appropriate; and (d) without-prejudice settlement correspondence.</w:t>
      </w:r>
    </w:p>
    <w:p>
      <w:pPr>
        <w:spacing w:after="160" w:before="0" w:line="276"/>
      </w:pPr>
      <w:r>
        <w:t xml:space="preserve">Any work outside this scope — for example a related claim against any other supplier, or enforcement of any judgment — will be the subject of a separate engagement or a written variation to this one.</w:t>
      </w:r>
    </w:p>
    <w:p>
      <w:pPr>
        <w:pStyle w:val="Heading2"/>
      </w:pPr>
      <w:r>
        <w:t xml:space="preserve">2. Our team and supervision</w:t>
      </w:r>
    </w:p>
    <w:p>
      <w:pPr>
        <w:spacing w:after="160" w:before="0" w:line="276"/>
      </w:pPr>
      <w:r>
        <w:t xml:space="preserve">The matter is led by Sarah Whitfield (Partner), who has overall conduct. The day-to-day handler is James Osei (Senior Associate), supported by Tom Gallagher (Associate). Sarah will supervise the matter throughout. We will not increase the size of the team without first discussing it with you.</w:t>
      </w:r>
    </w:p>
    <w:p>
      <w:pPr>
        <w:pStyle w:val="Heading2"/>
      </w:pPr>
      <w:r>
        <w:t xml:space="preserve">3. Fees and disbursements</w:t>
      </w:r>
    </w:p>
    <w:p>
      <w:pPr>
        <w:spacing w:after="160" w:before="0" w:line="276"/>
      </w:pPr>
      <w:r>
        <w:t xml:space="preserve">Our fees are charged by reference to time spent at the following hourly rates (exclusive of VAT): Partner £595; Senior Associate £425; Associate £310; Trainee/Paralegal £180. These rates are reviewed annually each January. Disbursements (such as court fees, counsel’s fees and the fees of any expert metallurgist) are charged in addition. Counsel’s fees and the costs of expert evidence can be significant in a matter of this kind and we will agree fee estimates with you before incurring them.</w:t>
      </w:r>
    </w:p>
    <w:p>
      <w:pPr>
        <w:spacing w:after="160" w:before="0" w:line="276"/>
      </w:pPr>
      <w:r>
        <w:t xml:space="preserve">We estimate our fees for the pre-action phase (review, Letter Before Action and advice on merits) at between £28,000 and £38,000 plus VAT and disbursements. We will provide a separate estimate before any proceedings are issued. We will update these estimates as the matter develops and will not exceed an estimate without telling you first.</w:t>
      </w:r>
    </w:p>
    <w:p>
      <w:pPr>
        <w:pStyle w:val="Heading2"/>
      </w:pPr>
      <w:r>
        <w:t xml:space="preserve">4. Billing arrangements</w:t>
      </w:r>
    </w:p>
    <w:p>
      <w:pPr>
        <w:spacing w:after="160" w:before="0" w:line="276"/>
      </w:pPr>
      <w:r>
        <w:t xml:space="preserve">We will render interim invoices monthly. Invoices are payable within 14 days. We have requested a payment on account of costs of £10,000, to be held in our client account and applied against invoices. Interest may be charged on invoices that remain unpaid after 30 days at 4% per annum.</w:t>
      </w:r>
    </w:p>
    <w:p>
      <w:pPr>
        <w:pStyle w:val="Heading2"/>
      </w:pPr>
      <w:r>
        <w:t xml:space="preserve">5. Costs recovery and risk</w:t>
      </w:r>
    </w:p>
    <w:p>
      <w:pPr>
        <w:spacing w:after="160" w:before="0" w:line="276"/>
      </w:pPr>
      <w:r>
        <w:t xml:space="preserve">If the claim succeeds, the general rule is that the unsuccessful party pays the successful party’s costs, but recovery is usually limited to 60–75% of costs actually incurred and is subject to assessment. Conversely, if the claim does not succeed, the Company may be ordered to pay Crossfield’s costs. We will keep the question of costs, and of any offers to settle under Part 36, under continuous review and will advise you on after-the-event insurance if you wish.</w:t>
      </w:r>
    </w:p>
    <w:p>
      <w:pPr>
        <w:pStyle w:val="Heading2"/>
      </w:pPr>
      <w:r>
        <w:t xml:space="preserve">6. Confidentiality, conflicts and data</w:t>
      </w:r>
    </w:p>
    <w:p>
      <w:pPr>
        <w:spacing w:after="160" w:before="0" w:line="276"/>
      </w:pPr>
      <w:r>
        <w:t xml:space="preserve">We have carried out a conflict search and are not aware of any conflict that prevents us acting. We will keep your affairs confidential. We process personal data in accordance with our Privacy Notice and the UK GDPR. We are regulated by the Solicitors Regulation Authority (SRA number 619742).</w:t>
      </w:r>
    </w:p>
    <w:p>
      <w:pPr>
        <w:pStyle w:val="Heading2"/>
      </w:pPr>
      <w:r>
        <w:t xml:space="preserve">7. Money laundering</w:t>
      </w:r>
    </w:p>
    <w:p>
      <w:pPr>
        <w:spacing w:after="160" w:before="0" w:line="276"/>
      </w:pPr>
      <w:r>
        <w:t xml:space="preserve">We are required to verify the identity of our clients. Thank you for providing the Company’s certificate of incorporation and the identification documents for the authorised signatories; our compliance team has confirmed these are in order.</w:t>
      </w:r>
    </w:p>
    <w:p>
      <w:pPr>
        <w:pStyle w:val="Heading2"/>
      </w:pPr>
      <w:r>
        <w:t xml:space="preserve">8. Acceptance</w:t>
      </w:r>
    </w:p>
    <w:p>
      <w:pPr>
        <w:spacing w:after="160" w:before="0" w:line="276"/>
      </w:pPr>
      <w:r>
        <w:t xml:space="preserve">Please confirm your agreement to these terms by signing and returning the enclosed copy of this letter, or simply by continuing to instruct us, which will constitute acceptance. If anything in this letter or the Terms of Business is unclear, please call me.</w:t>
      </w:r>
    </w:p>
    <w:p>
      <w:pPr>
        <w:spacing w:after="160" w:before="0" w:line="276"/>
      </w:pPr>
      <w:r>
        <w:t xml:space="preserve">We are very glad to be acting for Pennington Industries on this matter and will do everything we can to secure a sensible and commercial outcome.</w:t>
      </w:r>
    </w:p>
    <w:p>
      <w:pPr>
        <w:spacing w:after="120"/>
      </w:pPr>
      <w:r>
        <w:t xml:space="preserve"/>
      </w:r>
    </w:p>
    <w:p>
      <w:pPr>
        <w:spacing w:after="160" w:before="0" w:line="276"/>
      </w:pPr>
      <w:r>
        <w:t xml:space="preserve">Yours faithfully,</w:t>
      </w:r>
    </w:p>
    <w:p>
      <w:pPr>
        <w:spacing w:after="120"/>
      </w:pPr>
      <w:r>
        <w:t xml:space="preserve"/>
      </w:r>
    </w:p>
    <w:p>
      <w:pPr>
        <w:spacing w:after="160" w:before="0" w:line="276"/>
      </w:pPr>
      <w:r>
        <w:rPr>
          <w:b/>
          <w:bCs/>
        </w:rPr>
        <w:t xml:space="preserve">Whitfield Carter LLP</w:t>
      </w:r>
    </w:p>
    <w:p>
      <w:pPr>
        <w:spacing w:after="160" w:before="0" w:line="276"/>
      </w:pPr>
      <w:r>
        <w:t xml:space="preserve">Sarah Whitfield</w:t>
      </w:r>
    </w:p>
    <w:p>
      <w:pPr>
        <w:spacing w:after="160" w:before="0" w:line="276"/>
      </w:pPr>
      <w:r>
        <w:t xml:space="preserve">Partner  —  Dispute Resolution</w:t>
      </w:r>
    </w:p>
    <w:p>
      <w:pPr>
        <w:spacing w:after="160" w:before="0" w:line="276"/>
      </w:pPr>
      <w:r>
        <w:rPr>
          <w:i/>
          <w:iCs/>
          <w:sz w:val="18"/>
          <w:szCs w:val="18"/>
        </w:rPr>
        <w:t xml:space="preserve">For and on behalf of Whitfield Carter LLP</w:t>
      </w:r>
    </w:p>
    <w:p>
      <w:pPr>
        <w:spacing w:after="120"/>
      </w:pPr>
      <w:r>
        <w:t xml:space="preserve"/>
      </w:r>
    </w:p>
    <w:p>
      <w:pPr>
        <w:spacing w:after="160" w:before="0" w:line="276"/>
      </w:pPr>
      <w:r>
        <w:rPr>
          <w:i/>
          <w:iCs/>
          <w:sz w:val="18"/>
          <w:szCs w:val="18"/>
        </w:rPr>
        <w:t xml:space="preserve">Enc: Terms of Business; Privacy Notice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tabs>
        <w:tab w:val="right" w:pos="9026"/>
      </w:tabs>
      <w:spacing w:before="80"/>
    </w:pPr>
    <w:r>
      <w:rPr>
        <w:color w:val="777777"/>
        <w:sz w:val="14"/>
        <w:szCs w:val="14"/>
      </w:rPr>
      <w:t xml:space="preserve">Whitfield Carter LLP, a limited liability partnership registered in England &amp; Wales (OC418827).</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80" w:hanging="480"/>
      </w:pPr>
      <w:rPr>
        <w:b/>
        <w:bCs/>
      </w:rPr>
    </w:lvl>
    <w:lvl w:ilvl="1" w15:tentative="1">
      <w:start w:val="1"/>
      <w:numFmt w:val="decimal"/>
      <w:lvlText w:val="%1.%2"/>
      <w:lvlJc w:val="left"/>
      <w:pPr>
        <w:ind w:left="960" w:hanging="480"/>
      </w:pPr>
    </w:lvl>
    <w:lvl w:ilvl="2" w15:tentative="1">
      <w:start w:val="1"/>
      <w:numFmt w:val="lowerLetter"/>
      <w:lvlText w:val="(%3)"/>
      <w:lvlJc w:val="left"/>
      <w:pPr>
        <w:ind w:left="1440" w:hanging="480"/>
      </w:pPr>
    </w:lvl>
    <w:lvl w:ilvl="3" w15:tentative="1">
      <w:start w:val="1"/>
      <w:numFmt w:val="lowerRoman"/>
      <w:lvlText w:val="(%4)"/>
      <w:lvlJc w:val="left"/>
      <w:pPr>
        <w:ind w:left="1920" w:hanging="48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6"/>
      <w:szCs w:val="26"/>
    </w:rPr>
  </w:style>
  <w:style w:type="paragraph" w:styleId="Heading2">
    <w:name w:val="Heading 2"/>
    <w:basedOn w:val="Normal"/>
    <w:next w:val="Normal"/>
    <w:qFormat/>
    <w:pPr>
      <w:spacing w:after="80" w:before="180"/>
      <w:outlineLvl w:val="1"/>
    </w:pPr>
    <w:rPr>
      <w:rFonts w:ascii="Calibri" w:cs="Calibri" w:eastAsia="Calibri" w:hAnsi="Calibri"/>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2026-06-10T21:09:12.105Z</dcterms:created>
  <dcterms:modified xsi:type="dcterms:W3CDTF">2026-06-10T21:09:12.105Z</dcterms:modified>
</cp:coreProperties>
</file>

<file path=docProps/custom.xml><?xml version="1.0" encoding="utf-8"?>
<Properties xmlns="http://schemas.openxmlformats.org/officeDocument/2006/custom-properties" xmlns:vt="http://schemas.openxmlformats.org/officeDocument/2006/docPropsVTypes"/>
</file>