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1F3864"/>
          <w:sz w:val="18"/>
          <w:szCs w:val="18"/>
        </w:rPr>
        <w:t xml:space="preserve">Solicitors</w:t>
      </w:r>
    </w:p>
    <w:p>
      <w:pPr>
        <w:spacing w:after="0"/>
        <w:jc w:val="right"/>
      </w:pPr>
      <w:r>
        <w:rPr>
          <w:sz w:val="18"/>
          <w:szCs w:val="18"/>
        </w:rPr>
        <w:t xml:space="preserve">22 Bishopsgate, London EC2N 4BQ</w:t>
      </w:r>
    </w:p>
    <w:p>
      <w:pPr>
        <w:spacing w:after="0"/>
        <w:jc w:val="right"/>
      </w:pPr>
      <w:r>
        <w:rPr>
          <w:sz w:val="18"/>
          <w:szCs w:val="18"/>
        </w:rPr>
        <w:t xml:space="preserve">DX 138760 Cheapside  |  +44 (0)20 7946 0991</w:t>
      </w:r>
    </w:p>
    <w:p>
      <w:pPr>
        <w:spacing w:after="120"/>
        <w:jc w:val="right"/>
      </w:pPr>
      <w:r>
        <w:rPr>
          <w:color w:val="1F3864"/>
          <w:sz w:val="18"/>
          <w:szCs w:val="18"/>
        </w:rPr>
        <w:t xml:space="preserve">www.whitfieldcarter.com</w:t>
      </w:r>
    </w:p>
    <w:p>
      <w:pPr>
        <w:pBdr>
          <w:bottom w:val="single" w:color="1F3864" w:sz="8" w:space="1"/>
        </w:pBdr>
        <w:spacing w:after="160"/>
      </w:pPr>
      <w:r>
        <w:t xml:space="preserve"/>
      </w:r>
    </w:p>
    <w:p>
      <w:pPr>
        <w:spacing w:after="40" w:before="0" w:line="276"/>
      </w:pPr>
      <w:r>
        <w:rPr>
          <w:b/>
          <w:bCs/>
        </w:rPr>
        <w:t xml:space="preserve">BY POST AND BY EMAIL (v.hawkins@crossfieldeng.co.uk)</w:t>
      </w:r>
    </w:p>
    <w:p>
      <w:pPr>
        <w:spacing w:after="160" w:before="0" w:line="276"/>
      </w:pPr>
      <w:r>
        <w:t xml:space="preserve">The Directors</w:t>
      </w:r>
    </w:p>
    <w:p>
      <w:pPr>
        <w:spacing w:after="160" w:before="0" w:line="276"/>
      </w:pPr>
      <w:r>
        <w:t xml:space="preserve">Crossfield Engineering Limited</w:t>
      </w:r>
    </w:p>
    <w:p>
      <w:pPr>
        <w:spacing w:after="160" w:before="0" w:line="276"/>
      </w:pPr>
      <w:r>
        <w:t xml:space="preserve">Unit 5, Brindley Park, Coventry CV6 6PT</w:t>
      </w:r>
    </w:p>
    <w:p>
      <w:pPr>
        <w:spacing w:after="120"/>
      </w:pPr>
      <w:r>
        <w:t xml:space="preserve"/>
      </w:r>
    </w:p>
    <w:p>
      <w:pPr>
        <w:spacing w:after="160" w:before="0" w:line="276"/>
      </w:pPr>
      <w:r>
        <w:t xml:space="preserve">Our ref: SW/JO/PEN-0111</w:t>
      </w:r>
    </w:p>
    <w:p>
      <w:pPr>
        <w:spacing w:after="160" w:before="0" w:line="276"/>
      </w:pPr>
      <w:r>
        <w:t xml:space="preserve">18 November 2024</w:t>
      </w:r>
    </w:p>
    <w:p>
      <w:pPr>
        <w:spacing w:after="120"/>
      </w:pPr>
      <w:r>
        <w:t xml:space="preserve"/>
      </w:r>
    </w:p>
    <w:p>
      <w:pPr>
        <w:spacing w:after="160" w:before="0" w:line="276"/>
      </w:pPr>
      <w:r>
        <w:t xml:space="preserve">Dear Sirs</w:t>
      </w:r>
    </w:p>
    <w:p>
      <w:pPr>
        <w:spacing w:after="160" w:before="0" w:line="276"/>
      </w:pPr>
      <w:r>
        <w:rPr>
          <w:b/>
          <w:bCs/>
          <w:u w:val="single"/>
        </w:rPr>
        <w:t xml:space="preserve">LETTER BEFORE ACTION</w:t>
      </w:r>
    </w:p>
    <w:p>
      <w:pPr>
        <w:spacing w:after="160" w:before="0" w:line="276"/>
      </w:pPr>
      <w:r>
        <w:rPr>
          <w:b/>
          <w:bCs/>
        </w:rPr>
        <w:t xml:space="preserve">Pennington Industries Limited v Crossfield Engineering Limited</w:t>
      </w:r>
    </w:p>
    <w:p>
      <w:pPr>
        <w:spacing w:after="160" w:before="0" w:line="276"/>
      </w:pPr>
      <w:r>
        <w:rPr>
          <w:b/>
          <w:bCs/>
        </w:rPr>
        <w:t xml:space="preserve">Supply Agreement dated 12 March 2024 — supply of non-conforming PX-440 impeller housings</w:t>
      </w:r>
    </w:p>
    <w:p>
      <w:pPr>
        <w:spacing w:after="160" w:before="0" w:line="276"/>
      </w:pPr>
      <w:r>
        <w:t xml:space="preserve">We act for Pennington Industries Limited (“our client” or “Pennington”), whose registered office is at 14 Faraday Court, Aston, Birmingham B7 4AA. This letter is a Letter Before Action sent in accordance with the Practice Direction on Pre-Action Conduct and Protocols. We ask you to read it carefully and to pass it to your insurers and legal advisers without delay.</w:t>
      </w:r>
    </w:p>
    <w:p>
      <w:pPr>
        <w:pStyle w:val="Heading2"/>
      </w:pPr>
      <w:r>
        <w:t xml:space="preserve">1. The parties and the agreement</w:t>
      </w:r>
    </w:p>
    <w:p>
      <w:pPr>
        <w:spacing w:after="160" w:before="0" w:line="276"/>
      </w:pPr>
      <w:r>
        <w:t xml:space="preserve">By a written Supply Agreement dated 12 March 2024 (the “Agreement”), Crossfield agreed to manufacture and supply to Pennington precision-machined impeller housings (Part No. PX-440) for incorporation into Pennington’s PX-series industrial fluid-handling pumps. The Agreement, and the Technical Specification at Schedule 1, required the housings to be machined from grade 316L austenitic stainless steel and to be supplied within the dimensional tolerances stated in that specification (bore diameter 84.00 mm +0.00/−0.03 mm).</w:t>
      </w:r>
    </w:p>
    <w:p>
      <w:pPr>
        <w:spacing w:after="160" w:before="0" w:line="276"/>
      </w:pPr>
      <w:r>
        <w:t xml:space="preserve">The Agreement also incorporated express warranties (clause 7) that the goods would conform to the specification and be free from defects in materials and workmanship, and the implied terms as to satisfactory quality and fitness for purpose under sections 13 and 14 of the Sale of Goods Act 1979.</w:t>
      </w:r>
    </w:p>
    <w:p>
      <w:pPr>
        <w:pStyle w:val="Heading2"/>
      </w:pPr>
      <w:r>
        <w:t xml:space="preserve">2. What went wrong</w:t>
      </w:r>
    </w:p>
    <w:p>
      <w:pPr>
        <w:spacing w:after="160" w:before="0" w:line="276"/>
      </w:pPr>
      <w:r>
        <w:t xml:space="preserve">Between April and July 2024 Crossfield delivered 4,200 PX-440 housings against purchase orders PEN-PO-3391 to PEN-PO-3417. From early August 2024 Pennington began to receive field failure reports from customers whose pumps had suffered premature corrosion and seizure. Pennington’s engineering team quarantined the affected stock and commissioned independent metallurgical testing from Wraysbury Materials Laboratory.</w:t>
      </w:r>
    </w:p>
    <w:p>
      <w:pPr>
        <w:spacing w:after="160" w:before="0" w:line="276"/>
      </w:pPr>
      <w:r>
        <w:t xml:space="preserve">That testing, reported on 12 September 2024, established that a substantial proportion of the housings had been machined not from grade 316L but from grade 430 ferritic stainless steel — a materially cheaper, magnetic, and far less corrosion-resistant alloy — and that a number of housings were also bored outside the stated tolerance. The substitution of 430 for 316L is the direct cause of the corrosion failures in service.</w:t>
      </w:r>
    </w:p>
    <w:p>
      <w:pPr>
        <w:pStyle w:val="Heading2"/>
      </w:pPr>
      <w:r>
        <w:t xml:space="preserve">3. Breach</w:t>
      </w:r>
    </w:p>
    <w:p>
      <w:pPr>
        <w:spacing w:after="160" w:before="0" w:line="276"/>
      </w:pPr>
      <w:r>
        <w:t xml:space="preserve">In supplying housings that were not of the specified material, were not of satisfactory quality, and were not fit for their purpose, Crossfield acted in breach of clause 7 of the Agreement and of the terms implied by sections 13 and 14 of the Sale of Goods Act 1979. The goods did not correspond with their description and a reasonable buyer would not have regarded them as satisfactory.</w:t>
      </w:r>
    </w:p>
    <w:p>
      <w:pPr>
        <w:pStyle w:val="Heading2"/>
      </w:pPr>
      <w:r>
        <w:t xml:space="preserve">4. Loss and damage</w:t>
      </w:r>
    </w:p>
    <w:p>
      <w:pPr>
        <w:spacing w:after="160" w:before="0" w:line="276"/>
      </w:pPr>
      <w:r>
        <w:t xml:space="preserve">As a direct result of the breaches, Pennington has suffered loss exceeding £2.35 million, comprising (in summary): the cost of sourcing replacement conforming components from an alternative supplier at a premium; the cost of recalling and rebuilding pumps already shipped to customers; lost production during the six-week shutdown of Assembly Line 3; remedial inspection and rework; additional carriage; and wasted management time. A detailed schedule of loss will follow but the principal heads are set out in the enclosed summary.</w:t>
      </w:r>
    </w:p>
    <w:tbl>
      <w:tblPr>
        <w:tblW w:type="dxa" w:w="8520"/>
        <w:tblBorders>
          <w:top w:val="single" w:color="999999" w:sz="1"/>
          <w:left w:val="single" w:color="999999" w:sz="1"/>
          <w:bottom w:val="single" w:color="999999" w:sz="1"/>
          <w:right w:val="single" w:color="999999" w:sz="1"/>
          <w:insideH w:val="single" w:color="999999" w:sz="1"/>
          <w:insideV w:val="single" w:color="999999" w:sz="1"/>
        </w:tblBorders>
      </w:tblPr>
      <w:tblGrid>
        <w:gridCol w:w="6400"/>
        <w:gridCol w:w="2120"/>
      </w:tblGrid>
      <w:tr>
        <w:trPr>
          <w:tblHeader/>
        </w:trPr>
        <w:tc>
          <w:tcPr>
            <w:tcW w:type="dxa" w:w="6400"/>
            <w:shd w:fill="1F3864" w:val="clear"/>
            <w:tcMar>
              <w:top w:type="dxa" w:w="60"/>
              <w:left w:type="dxa" w:w="110"/>
              <w:bottom w:type="dxa" w:w="60"/>
              <w:right w:type="dxa" w:w="110"/>
            </w:tcMar>
          </w:tcPr>
          <w:p>
            <w:pPr>
              <w:spacing w:after="0" w:line="252"/>
              <w:jc w:val="left"/>
            </w:pPr>
            <w:r>
              <w:rPr>
                <w:b/>
                <w:bCs/>
                <w:color w:val="FFFFFF"/>
                <w:sz w:val="20"/>
                <w:szCs w:val="20"/>
              </w:rPr>
              <w:t xml:space="preserve">Head of loss</w:t>
            </w:r>
          </w:p>
        </w:tc>
        <w:tc>
          <w:tcPr>
            <w:tcW w:type="dxa" w:w="2120"/>
            <w:shd w:fill="1F3864" w:val="clear"/>
            <w:tcMar>
              <w:top w:type="dxa" w:w="60"/>
              <w:left w:type="dxa" w:w="110"/>
              <w:bottom w:type="dxa" w:w="60"/>
              <w:right w:type="dxa" w:w="110"/>
            </w:tcMar>
          </w:tcPr>
          <w:p>
            <w:pPr>
              <w:spacing w:after="0" w:line="252"/>
              <w:jc w:val="right"/>
            </w:pPr>
            <w:r>
              <w:rPr>
                <w:b/>
                <w:bCs/>
                <w:color w:val="FFFFFF"/>
                <w:sz w:val="20"/>
                <w:szCs w:val="20"/>
              </w:rPr>
              <w:t xml:space="preserve">Amount (£)</w:t>
            </w:r>
          </w:p>
        </w:tc>
      </w:tr>
      <w:tr>
        <w:trPr>
          <w:tblHeader w:val="false"/>
        </w:trPr>
        <w:tc>
          <w:tcPr>
            <w:tcW w:type="dxa" w:w="6400"/>
            <w:tcMar>
              <w:top w:type="dxa" w:w="60"/>
              <w:left w:type="dxa" w:w="110"/>
              <w:bottom w:type="dxa" w:w="60"/>
              <w:right w:type="dxa" w:w="110"/>
            </w:tcMar>
          </w:tcPr>
          <w:p>
            <w:pPr>
              <w:spacing w:after="0" w:line="252"/>
              <w:jc w:val="left"/>
            </w:pPr>
            <w:r>
              <w:rPr>
                <w:b w:val="false"/>
                <w:bCs w:val="false"/>
                <w:sz w:val="20"/>
                <w:szCs w:val="20"/>
              </w:rPr>
              <w:t xml:space="preserve">Replacement conforming components (supplier premium)</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612,400</w:t>
            </w:r>
          </w:p>
        </w:tc>
      </w:tr>
      <w:tr>
        <w:trPr>
          <w:tblHeader w:val="false"/>
        </w:trPr>
        <w:tc>
          <w:tcPr>
            <w:tcW w:type="dxa" w:w="6400"/>
            <w:shd w:fill="F2F4F8" w:val="clear"/>
            <w:tcMar>
              <w:top w:type="dxa" w:w="60"/>
              <w:left w:type="dxa" w:w="110"/>
              <w:bottom w:type="dxa" w:w="60"/>
              <w:right w:type="dxa" w:w="110"/>
            </w:tcMar>
          </w:tcPr>
          <w:p>
            <w:pPr>
              <w:spacing w:after="0" w:line="252"/>
              <w:jc w:val="left"/>
            </w:pPr>
            <w:r>
              <w:rPr>
                <w:b w:val="false"/>
                <w:bCs w:val="false"/>
                <w:sz w:val="20"/>
                <w:szCs w:val="20"/>
              </w:rPr>
              <w:t xml:space="preserve">Recall and rebuild of pumps already shipped</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548,900</w:t>
            </w:r>
          </w:p>
        </w:tc>
      </w:tr>
      <w:tr>
        <w:trPr>
          <w:tblHeader w:val="false"/>
        </w:trPr>
        <w:tc>
          <w:tcPr>
            <w:tcW w:type="dxa" w:w="6400"/>
            <w:tcMar>
              <w:top w:type="dxa" w:w="60"/>
              <w:left w:type="dxa" w:w="110"/>
              <w:bottom w:type="dxa" w:w="60"/>
              <w:right w:type="dxa" w:w="110"/>
            </w:tcMar>
          </w:tcPr>
          <w:p>
            <w:pPr>
              <w:spacing w:after="0" w:line="252"/>
              <w:jc w:val="left"/>
            </w:pPr>
            <w:r>
              <w:rPr>
                <w:b w:val="false"/>
                <w:bCs w:val="false"/>
                <w:sz w:val="20"/>
                <w:szCs w:val="20"/>
              </w:rPr>
              <w:t xml:space="preserve">Lost production — Line 3 (6 weeks)</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742,000</w:t>
            </w:r>
          </w:p>
        </w:tc>
      </w:tr>
      <w:tr>
        <w:trPr>
          <w:tblHeader w:val="false"/>
        </w:trPr>
        <w:tc>
          <w:tcPr>
            <w:tcW w:type="dxa" w:w="6400"/>
            <w:shd w:fill="F2F4F8" w:val="clear"/>
            <w:tcMar>
              <w:top w:type="dxa" w:w="60"/>
              <w:left w:type="dxa" w:w="110"/>
              <w:bottom w:type="dxa" w:w="60"/>
              <w:right w:type="dxa" w:w="110"/>
            </w:tcMar>
          </w:tcPr>
          <w:p>
            <w:pPr>
              <w:spacing w:after="0" w:line="252"/>
              <w:jc w:val="left"/>
            </w:pPr>
            <w:r>
              <w:rPr>
                <w:b w:val="false"/>
                <w:bCs w:val="false"/>
                <w:sz w:val="20"/>
                <w:szCs w:val="20"/>
              </w:rPr>
              <w:t xml:space="preserve">Remedial inspection and rework</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318,600</w:t>
            </w:r>
          </w:p>
        </w:tc>
      </w:tr>
      <w:tr>
        <w:trPr>
          <w:tblHeader w:val="false"/>
        </w:trPr>
        <w:tc>
          <w:tcPr>
            <w:tcW w:type="dxa" w:w="6400"/>
            <w:tcMar>
              <w:top w:type="dxa" w:w="60"/>
              <w:left w:type="dxa" w:w="110"/>
              <w:bottom w:type="dxa" w:w="60"/>
              <w:right w:type="dxa" w:w="110"/>
            </w:tcMar>
          </w:tcPr>
          <w:p>
            <w:pPr>
              <w:spacing w:after="0" w:line="252"/>
              <w:jc w:val="left"/>
            </w:pPr>
            <w:r>
              <w:rPr>
                <w:b w:val="false"/>
                <w:bCs w:val="false"/>
                <w:sz w:val="20"/>
                <w:szCs w:val="20"/>
              </w:rPr>
              <w:t xml:space="preserve">Wasted management and staff time</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96,400</w:t>
            </w:r>
          </w:p>
        </w:tc>
      </w:tr>
      <w:tr>
        <w:trPr>
          <w:tblHeader w:val="false"/>
        </w:trPr>
        <w:tc>
          <w:tcPr>
            <w:tcW w:type="dxa" w:w="6400"/>
            <w:shd w:fill="F2F4F8" w:val="clear"/>
            <w:tcMar>
              <w:top w:type="dxa" w:w="60"/>
              <w:left w:type="dxa" w:w="110"/>
              <w:bottom w:type="dxa" w:w="60"/>
              <w:right w:type="dxa" w:w="110"/>
            </w:tcMar>
          </w:tcPr>
          <w:p>
            <w:pPr>
              <w:spacing w:after="0" w:line="252"/>
              <w:jc w:val="left"/>
            </w:pPr>
            <w:r>
              <w:rPr>
                <w:b w:val="false"/>
                <w:bCs w:val="false"/>
                <w:sz w:val="20"/>
                <w:szCs w:val="20"/>
              </w:rPr>
              <w:t xml:space="preserve">Additional carriage and logistics</w:t>
            </w:r>
          </w:p>
        </w:tc>
        <w:tc>
          <w:tcPr>
            <w:tcW w:type="dxa" w:w="2120"/>
            <w:shd w:fill="F2F4F8" w:val="clear"/>
            <w:tcMar>
              <w:top w:type="dxa" w:w="60"/>
              <w:left w:type="dxa" w:w="110"/>
              <w:bottom w:type="dxa" w:w="60"/>
              <w:right w:type="dxa" w:w="110"/>
            </w:tcMar>
          </w:tcPr>
          <w:p>
            <w:pPr>
              <w:spacing w:after="0" w:line="252"/>
              <w:jc w:val="right"/>
            </w:pPr>
            <w:r>
              <w:rPr>
                <w:b w:val="false"/>
                <w:bCs w:val="false"/>
                <w:sz w:val="20"/>
                <w:szCs w:val="20"/>
              </w:rPr>
              <w:t xml:space="preserve">41,300</w:t>
            </w:r>
          </w:p>
        </w:tc>
      </w:tr>
      <w:tr>
        <w:trPr>
          <w:tblHeader w:val="false"/>
        </w:trPr>
        <w:tc>
          <w:tcPr>
            <w:tcW w:type="dxa" w:w="6400"/>
            <w:tcMar>
              <w:top w:type="dxa" w:w="60"/>
              <w:left w:type="dxa" w:w="110"/>
              <w:bottom w:type="dxa" w:w="60"/>
              <w:right w:type="dxa" w:w="110"/>
            </w:tcMar>
          </w:tcPr>
          <w:p>
            <w:pPr>
              <w:spacing w:after="0" w:line="252"/>
              <w:jc w:val="left"/>
            </w:pPr>
            <w:r>
              <w:rPr>
                <w:b w:val="false"/>
                <w:bCs w:val="false"/>
                <w:sz w:val="20"/>
                <w:szCs w:val="20"/>
              </w:rPr>
              <w:t xml:space="preserve">Total (excluding interest)</w:t>
            </w:r>
          </w:p>
        </w:tc>
        <w:tc>
          <w:tcPr>
            <w:tcW w:type="dxa" w:w="2120"/>
            <w:tcMar>
              <w:top w:type="dxa" w:w="60"/>
              <w:left w:type="dxa" w:w="110"/>
              <w:bottom w:type="dxa" w:w="60"/>
              <w:right w:type="dxa" w:w="110"/>
            </w:tcMar>
          </w:tcPr>
          <w:p>
            <w:pPr>
              <w:spacing w:after="0" w:line="252"/>
              <w:jc w:val="right"/>
            </w:pPr>
            <w:r>
              <w:rPr>
                <w:b w:val="false"/>
                <w:bCs w:val="false"/>
                <w:sz w:val="20"/>
                <w:szCs w:val="20"/>
              </w:rPr>
              <w:t xml:space="preserve">2,359,600</w:t>
            </w:r>
          </w:p>
        </w:tc>
      </w:tr>
    </w:tbl>
    <w:p>
      <w:pPr>
        <w:pStyle w:val="Heading2"/>
      </w:pPr>
      <w:r>
        <w:t xml:space="preserve">5. What we require</w:t>
      </w:r>
    </w:p>
    <w:p>
      <w:pPr>
        <w:spacing w:after="160" w:before="0" w:line="276"/>
      </w:pPr>
      <w:r>
        <w:t xml:space="preserve">We are instructed to require, within 21 days of the date of this letter: (a) your written admission of liability; (b) your proposals for compensating Pennington in the sum of £2,359,600 together with interest; and (c) confirmation that you will preserve all documents (including electronic documents and the relevant material certificates and machining records) relevant to the matters raised.</w:t>
      </w:r>
    </w:p>
    <w:p>
      <w:pPr>
        <w:pStyle w:val="Heading2"/>
      </w:pPr>
      <w:r>
        <w:t xml:space="preserve">6. Documents</w:t>
      </w:r>
    </w:p>
    <w:p>
      <w:pPr>
        <w:spacing w:after="160" w:before="0" w:line="276"/>
      </w:pPr>
      <w:r>
        <w:t xml:space="preserve">We enclose the Wraysbury Materials Laboratory report dated 12 September 2024. We ask you to provide, with your response: the mill/material certificates for the steel used on the PX-440 order; your machining and inspection records; and your purchase records for the relevant raw material.</w:t>
      </w:r>
    </w:p>
    <w:p>
      <w:pPr>
        <w:pStyle w:val="Heading2"/>
      </w:pPr>
      <w:r>
        <w:t xml:space="preserve">7. Pre-action protocol and ADR</w:t>
      </w:r>
    </w:p>
    <w:p>
      <w:pPr>
        <w:spacing w:after="160" w:before="0" w:line="276"/>
      </w:pPr>
      <w:r>
        <w:t xml:space="preserve">Our client is willing to consider alternative dispute resolution, including mediation, and invites you to confirm whether you are likewise willing. However, if we do not receive a substantive response within 21 days, our client reserves the right to issue proceedings without further notice and to rely on this letter on the question of costs.</w:t>
      </w:r>
    </w:p>
    <w:p>
      <w:pPr>
        <w:spacing w:after="160" w:before="0" w:line="276"/>
      </w:pPr>
      <w:r>
        <w:t xml:space="preserve">We look forward to hearing from your insurers or solicitors.</w:t>
      </w:r>
    </w:p>
    <w:p>
      <w:pPr>
        <w:spacing w:after="120"/>
      </w:pPr>
      <w:r>
        <w:t xml:space="preserve"/>
      </w:r>
    </w:p>
    <w:p>
      <w:pPr>
        <w:spacing w:after="160" w:before="0" w:line="276"/>
      </w:pPr>
      <w:r>
        <w:t xml:space="preserve">Yours faithfully,</w:t>
      </w:r>
    </w:p>
    <w:p>
      <w:pPr>
        <w:spacing w:after="120"/>
      </w:pPr>
      <w:r>
        <w:t xml:space="preserve"/>
      </w:r>
    </w:p>
    <w:p>
      <w:pPr>
        <w:spacing w:after="160" w:before="0" w:line="276"/>
      </w:pPr>
      <w:r>
        <w:rPr>
          <w:b/>
          <w:bCs/>
        </w:rPr>
        <w:t xml:space="preserve">Whitfield Carter LLP</w:t>
      </w:r>
    </w:p>
    <w:p>
      <w:pPr>
        <w:spacing w:after="160" w:before="0" w:line="276"/>
      </w:pPr>
      <w:r>
        <w:t xml:space="preserve">Sarah Whitfield</w:t>
      </w:r>
    </w:p>
    <w:p>
      <w:pPr>
        <w:spacing w:after="160" w:before="0" w:line="276"/>
      </w:pPr>
      <w:r>
        <w:t xml:space="preserve">Partner  —  Dispute Resolution</w:t>
      </w:r>
    </w:p>
    <w:p>
      <w:pPr>
        <w:spacing w:after="160" w:before="0" w:line="276"/>
      </w:pPr>
      <w:r>
        <w:rPr>
          <w:i/>
          <w:iCs/>
          <w:sz w:val="18"/>
          <w:szCs w:val="18"/>
        </w:rPr>
        <w:t xml:space="preserve">For and on behalf of Whitfield Carter LLP</w:t>
      </w:r>
    </w:p>
    <w:p>
      <w:pPr>
        <w:spacing w:after="120"/>
      </w:pPr>
      <w:r>
        <w:t xml:space="preserve"/>
      </w:r>
    </w:p>
    <w:p>
      <w:pPr>
        <w:spacing w:after="160" w:before="0" w:line="276"/>
      </w:pPr>
      <w:r>
        <w:rPr>
          <w:i/>
          <w:iCs/>
          <w:sz w:val="18"/>
          <w:szCs w:val="18"/>
        </w:rPr>
        <w:t xml:space="preserve">Enc: Wraysbury Materials Laboratory report (12 September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color w:val="777777"/>
        <w:sz w:val="14"/>
        <w:szCs w:val="14"/>
      </w:rPr>
      <w:t xml:space="preserve">Whitfield Carter LLP, a limited liability partnership registered in England &amp; Wales (OC418827).</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rPr>
    </w:lvl>
    <w:lvl w:ilvl="1" w15:tentative="1">
      <w:start w:val="1"/>
      <w:numFmt w:val="decimal"/>
      <w:lvlText w:val="%1.%2"/>
      <w:lvlJc w:val="left"/>
      <w:pPr>
        <w:ind w:left="960" w:hanging="480"/>
      </w:pPr>
    </w:lvl>
    <w:lvl w:ilvl="2" w15:tentative="1">
      <w:start w:val="1"/>
      <w:numFmt w:val="lowerLetter"/>
      <w:lvlText w:val="(%3)"/>
      <w:lvlJc w:val="left"/>
      <w:pPr>
        <w:ind w:left="1440" w:hanging="480"/>
      </w:pPr>
    </w:lvl>
    <w:lvl w:ilvl="3" w15:tentative="1">
      <w:start w:val="1"/>
      <w:numFmt w:val="lowerRoman"/>
      <w:lvlText w:val="(%4)"/>
      <w:lvlJc w:val="left"/>
      <w:pPr>
        <w:ind w:left="19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8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2026-06-10T21:09:12.158Z</dcterms:created>
  <dcterms:modified xsi:type="dcterms:W3CDTF">2026-06-10T21:09:12.158Z</dcterms:modified>
</cp:coreProperties>
</file>

<file path=docProps/custom.xml><?xml version="1.0" encoding="utf-8"?>
<Properties xmlns="http://schemas.openxmlformats.org/officeDocument/2006/custom-properties" xmlns:vt="http://schemas.openxmlformats.org/officeDocument/2006/docPropsVTypes"/>
</file>