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</w:rPr>
        <w:t xml:space="preserve">PENNINGTON INDUSTRIES LIMITED v TREGARTH BEARINGS LIMITED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CHRONOLOGY</w:t>
      </w:r>
    </w:p>
    <w:p>
      <w:pPr>
        <w:spacing w:after="80"/>
        <w:jc w:val="center"/>
      </w:pPr>
      <w:r>
        <w:t xml:space="preserve">Claim No. BL-2025-000418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This chronology is prepared by the Claimant’s solicitors and is neutral as to issues in dispute.</w:t>
      </w:r>
    </w:p>
    <w:p>
      <w:pPr>
        <w:tabs>
          <w:tab w:val="left" w:pos="2200"/>
        </w:tabs>
        <w:spacing w:after="100"/>
      </w:pPr>
      <w:r>
        <w:rPr>
          <w:b/>
          <w:bCs/>
        </w:rPr>
        <w:t xml:space="preserve">19 Feb 2024</w:t>
      </w:r>
      <w:r>
        <w:t xml:space="preserve">	Pennington issues RFQ to Tregarth enclosing specification PEN-ES-4471 Rev C (60 HRC / 30,000 hr L10).</w:t>
      </w:r>
    </w:p>
    <w:p>
      <w:pPr>
        <w:tabs>
          <w:tab w:val="left" w:pos="2200"/>
        </w:tabs>
        <w:spacing w:after="100"/>
      </w:pPr>
      <w:r>
        <w:rPr>
          <w:b/>
          <w:bCs/>
        </w:rPr>
        <w:t xml:space="preserve">26 Feb 2024</w:t>
      </w:r>
      <w:r>
        <w:t xml:space="preserve">	Tregarth (Brian Tovey) confirms by email that TB-7208-HP meets ES-4471 hardness and life requirements.</w:t>
      </w:r>
    </w:p>
    <w:p>
      <w:pPr>
        <w:tabs>
          <w:tab w:val="left" w:pos="2200"/>
        </w:tabs>
        <w:spacing w:after="100"/>
      </w:pPr>
      <w:r>
        <w:rPr>
          <w:b/>
          <w:bCs/>
        </w:rPr>
        <w:t xml:space="preserve">4 Mar 2024</w:t>
      </w:r>
      <w:r>
        <w:t xml:space="preserve">	Tregarth quotation TGQ-7208-0224 issued (unit price £229.50).</w:t>
      </w:r>
    </w:p>
    <w:p>
      <w:pPr>
        <w:tabs>
          <w:tab w:val="left" w:pos="2200"/>
        </w:tabs>
        <w:spacing w:after="100"/>
      </w:pPr>
      <w:r>
        <w:rPr>
          <w:b/>
          <w:bCs/>
        </w:rPr>
        <w:t xml:space="preserve">11 Mar 2024</w:t>
      </w:r>
      <w:r>
        <w:t xml:space="preserve">	Pennington purchase order PEN-PO-2024-0411 placed.</w:t>
      </w:r>
    </w:p>
    <w:p>
      <w:pPr>
        <w:tabs>
          <w:tab w:val="left" w:pos="2200"/>
        </w:tabs>
        <w:spacing w:after="100"/>
      </w:pPr>
      <w:r>
        <w:rPr>
          <w:b/>
          <w:bCs/>
        </w:rPr>
        <w:t xml:space="preserve">14 Mar 2024</w:t>
      </w:r>
      <w:r>
        <w:t xml:space="preserve">	Contract formed.</w:t>
      </w:r>
    </w:p>
    <w:p>
      <w:pPr>
        <w:tabs>
          <w:tab w:val="left" w:pos="2200"/>
        </w:tabs>
        <w:spacing w:after="100"/>
      </w:pPr>
      <w:r>
        <w:rPr>
          <w:b/>
          <w:bCs/>
        </w:rPr>
        <w:t xml:space="preserve">9 May – 21 Aug 2024</w:t>
      </w:r>
      <w:r>
        <w:t xml:space="preserve">	Five batches totalling 1,240 bearings delivered and paid for (£284,580 + VAT).</w:t>
      </w:r>
    </w:p>
    <w:p>
      <w:pPr>
        <w:tabs>
          <w:tab w:val="left" w:pos="2200"/>
        </w:tabs>
        <w:spacing w:after="100"/>
      </w:pPr>
      <w:r>
        <w:rPr>
          <w:b/>
          <w:bCs/>
        </w:rPr>
        <w:t xml:space="preserve">Jun 2024 onward</w:t>
      </w:r>
      <w:r>
        <w:t xml:space="preserve">	Bearings incorporated into PX-180 / PX-220 pumps and supplied to customers.</w:t>
      </w:r>
    </w:p>
    <w:p>
      <w:pPr>
        <w:tabs>
          <w:tab w:val="left" w:pos="2200"/>
        </w:tabs>
        <w:spacing w:after="100"/>
      </w:pPr>
      <w:r>
        <w:rPr>
          <w:b/>
          <w:bCs/>
        </w:rPr>
        <w:t xml:space="preserve">Sep 2024</w:t>
      </w:r>
      <w:r>
        <w:t xml:space="preserve">	First premature bearing failures on production test rigs.</w:t>
      </w:r>
    </w:p>
    <w:p>
      <w:pPr>
        <w:tabs>
          <w:tab w:val="left" w:pos="2200"/>
        </w:tabs>
        <w:spacing w:after="100"/>
      </w:pPr>
      <w:r>
        <w:rPr>
          <w:b/>
          <w:bCs/>
        </w:rPr>
        <w:t xml:space="preserve">Sep–Oct 2024</w:t>
      </w:r>
      <w:r>
        <w:t xml:space="preserve">	Field failures reported by municipal water customers; 38 failures recorded by end October.</w:t>
      </w:r>
    </w:p>
    <w:p>
      <w:pPr>
        <w:tabs>
          <w:tab w:val="left" w:pos="2200"/>
        </w:tabs>
        <w:spacing w:after="100"/>
      </w:pPr>
      <w:r>
        <w:rPr>
          <w:b/>
          <w:bCs/>
        </w:rPr>
        <w:t xml:space="preserve">16 Dec 2024</w:t>
      </w:r>
      <w:r>
        <w:t xml:space="preserve">	Argent Metallurgical Services report: raceway hardness 52–55 HRC; sub-surface fatigue spalling.</w:t>
      </w:r>
    </w:p>
    <w:p>
      <w:pPr>
        <w:tabs>
          <w:tab w:val="left" w:pos="2200"/>
        </w:tabs>
        <w:spacing w:after="100"/>
      </w:pPr>
      <w:r>
        <w:rPr>
          <w:b/>
          <w:bCs/>
        </w:rPr>
        <w:t xml:space="preserve">22 Oct 2024</w:t>
      </w:r>
      <w:r>
        <w:t xml:space="preserve">	Pennington instructs Whitfield Carter LLP.</w:t>
      </w:r>
    </w:p>
    <w:p>
      <w:pPr>
        <w:tabs>
          <w:tab w:val="left" w:pos="2200"/>
        </w:tabs>
        <w:spacing w:after="100"/>
      </w:pPr>
      <w:r>
        <w:rPr>
          <w:b/>
          <w:bCs/>
        </w:rPr>
        <w:t xml:space="preserve">28 Oct 2024</w:t>
      </w:r>
      <w:r>
        <w:t xml:space="preserve">	Letter before action sent to Tregarth.</w:t>
      </w:r>
    </w:p>
    <w:p>
      <w:pPr>
        <w:tabs>
          <w:tab w:val="left" w:pos="2200"/>
        </w:tabs>
        <w:spacing w:after="100"/>
      </w:pPr>
      <w:r>
        <w:rPr>
          <w:b/>
          <w:bCs/>
        </w:rPr>
        <w:t xml:space="preserve">20 Nov 2024</w:t>
      </w:r>
      <w:r>
        <w:t xml:space="preserve">	Tregarth’s solicitors (Tindale Marsh LLP) deny liability.</w:t>
      </w:r>
    </w:p>
    <w:p>
      <w:pPr>
        <w:tabs>
          <w:tab w:val="left" w:pos="2200"/>
        </w:tabs>
        <w:spacing w:after="100"/>
      </w:pPr>
      <w:r>
        <w:rPr>
          <w:b/>
          <w:bCs/>
        </w:rPr>
        <w:t xml:space="preserve">6 Feb 2025</w:t>
      </w:r>
      <w:r>
        <w:t xml:space="preserve">	Claim form and Particulars of Claim issued (BL-2025-000418).</w:t>
      </w:r>
    </w:p>
    <w:p>
      <w:pPr>
        <w:tabs>
          <w:tab w:val="left" w:pos="2200"/>
        </w:tabs>
        <w:spacing w:after="100"/>
      </w:pPr>
      <w:r>
        <w:rPr>
          <w:b/>
          <w:bCs/>
        </w:rPr>
        <w:t xml:space="preserve">9 Apr 2025</w:t>
      </w:r>
      <w:r>
        <w:t xml:space="preserve">	Defence served.</w:t>
      </w:r>
    </w:p>
    <w:p>
      <w:pPr>
        <w:tabs>
          <w:tab w:val="left" w:pos="2200"/>
        </w:tabs>
        <w:spacing w:after="100"/>
      </w:pPr>
      <w:r>
        <w:rPr>
          <w:b/>
          <w:bCs/>
        </w:rPr>
        <w:t xml:space="preserve">6 May 2025</w:t>
      </w:r>
      <w:r>
        <w:t xml:space="preserve">	Reply served.</w:t>
      </w:r>
    </w:p>
    <w:p>
      <w:pPr>
        <w:tabs>
          <w:tab w:val="left" w:pos="2200"/>
        </w:tabs>
        <w:spacing w:after="100"/>
      </w:pPr>
      <w:r>
        <w:rPr>
          <w:b/>
          <w:bCs/>
        </w:rPr>
        <w:t xml:space="preserve">12 Jun 2025</w:t>
      </w:r>
      <w:r>
        <w:t xml:space="preserve">	Case management conference; directions to trial given.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sz w:val="16"/>
        <w:szCs w:val="16"/>
      </w:rPr>
      <w:t xml:space="preserve"/>
    </w:r>
    <w:r>
      <w:rPr>
        <w:sz w:val="16"/>
        <w:szCs w:val="16"/>
      </w:rPr>
      <w:t xml:space="preserve">	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567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567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567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567"/>
      </w:pPr>
    </w:lvl>
  </w:abstractNum>
  <w:abstractNum w:abstractNumId="6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134" w:hanging="567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2026-06-28T10:20:15.079Z</dcterms:created>
  <dcterms:modified xsi:type="dcterms:W3CDTF">2026-06-28T10:20:15.079Z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