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Private &amp; Confidential</w:t>
      </w:r>
    </w:p>
    <w:p>
      <w:pPr>
        <w:spacing w:after="120"/>
      </w:pPr>
      <w:r>
        <w:t xml:space="preserve">By email and post</w:t>
      </w:r>
    </w:p>
    <w:p>
      <w:pPr>
        <w:spacing w:after="120"/>
      </w:pPr>
      <w:r>
        <w:t xml:space="preserve">Ms Grace Underwood</w:t>
      </w:r>
    </w:p>
    <w:p>
      <w:pPr>
        <w:spacing w:after="120"/>
      </w:pPr>
      <w:r>
        <w:t xml:space="preserve">Group Finance Director</w:t>
      </w:r>
    </w:p>
    <w:p>
      <w:pPr>
        <w:spacing w:after="120"/>
      </w:pPr>
      <w:r>
        <w:t xml:space="preserve">Pennington Industries Limited</w:t>
      </w:r>
    </w:p>
    <w:p>
      <w:pPr>
        <w:spacing w:after="120"/>
      </w:pPr>
      <w:r>
        <w:t xml:space="preserve">Brunel Works, Tyseley Industrial Estate, Birmingham B11 2BH</w:t>
      </w:r>
    </w:p>
    <w:p>
      <w:pPr>
        <w:spacing w:after="120"/>
      </w:pPr>
      <w:r>
        <w:rPr>
          <w:b/>
          <w:bCs/>
        </w:rPr>
        <w:t xml:space="preserve">Our ref: </w:t>
      </w:r>
      <w:r>
        <w:t xml:space="preserve">SW/TG/PEN-0164</w:t>
      </w:r>
      <w:r>
        <w:rPr>
          <w:b w:val="false"/>
          <w:bCs w:val="false"/>
        </w:rPr>
        <w:t xml:space="preserve">        Date: 22 October 2024</w:t>
      </w:r>
    </w:p>
    <w:p>
      <w:pPr>
        <w:spacing w:after="120"/>
      </w:pPr>
      <w:r>
        <w:t xml:space="preserve"/>
      </w:r>
    </w:p>
    <w:p>
      <w:pPr>
        <w:spacing w:after="120"/>
      </w:pPr>
      <w:r>
        <w:t xml:space="preserve">Dear Grace</w:t>
      </w:r>
    </w:p>
    <w:p>
      <w:pPr>
        <w:spacing w:after="120"/>
      </w:pPr>
      <w:r>
        <w:rPr>
          <w:b/>
          <w:bCs/>
        </w:rPr>
        <w:t xml:space="preserve">Pennington Industries Limited – contractual claim against Tregarth Bearings Limited (defective spindle bearings)</w:t>
      </w:r>
    </w:p>
    <w:p>
      <w:pPr>
        <w:spacing w:after="120"/>
      </w:pPr>
      <w:r>
        <w:t xml:space="preserve">Thank you for instructing Whitfield Carter LLP in connection with Pennington Industries Limited’s (“Pennington” or “the Company”) potential claim against Tregarth Bearings Limited (“Tregarth”) arising out of the supply of precision angular-contact spindle bearings (type TB-7208-HP) that have failed prematurely in service in the Company’s PX-180 and PX-220 centrifugal pump ranges. This letter sets out the basis on which we will act.</w:t>
      </w:r>
    </w:p>
    <w:p>
      <w:pPr>
        <w:pStyle w:val="Heading2"/>
      </w:pPr>
      <w:r>
        <w:t xml:space="preserve">1. Scope of our engagement</w:t>
      </w:r>
    </w:p>
    <w:p>
      <w:pPr>
        <w:spacing w:after="120"/>
      </w:pPr>
      <w:r>
        <w:t xml:space="preserve">We are instructed to advise on and pursue the Company’s contractual claim against Tregarth for breach of the supply contract dated 14 March 2024 and of the implied terms as to satisfactory quality and fitness for purpose under the Sale of Goods Act 1979. The initial scope comprises: (a) reviewing the supply documentation and metallurgical findings; (b) advising on the merits and quantum; (c) preparing and sending a letter before action in accordance with the Pre-Action Protocol for the resolution of commercial disputes; and (d) if the claim is not resolved, preparing proceedings in the Business and Property Courts.</w:t>
      </w:r>
    </w:p>
    <w:p>
      <w:pPr>
        <w:pStyle w:val="Heading2"/>
      </w:pPr>
      <w:r>
        <w:t xml:space="preserve">2. People responsible for your work</w:t>
      </w:r>
    </w:p>
    <w:p>
      <w:pPr>
        <w:spacing w:after="120"/>
      </w:pPr>
      <w:r>
        <w:t xml:space="preserve">The matter will be led by Sarah Whitfield (Partner). Day-to-day conduct will be handled by Tom Gallagher (Associate), supported as necessary by Elena Marchetti (Associate). We will instruct counsel from Eldon Chambers and an independent metallurgical expert (Argent Metallurgical Services) as the matter develops.</w:t>
      </w:r>
    </w:p>
    <w:p>
      <w:pPr>
        <w:pStyle w:val="Heading2"/>
      </w:pPr>
      <w:r>
        <w:t xml:space="preserve">3. Fees and estimates</w:t>
      </w:r>
    </w:p>
    <w:p>
      <w:pPr>
        <w:spacing w:after="120"/>
      </w:pPr>
      <w:r>
        <w:t xml:space="preserve">Our charges are based on the time spent at the hourly rates set out below (exclusive of VAT): Sarah Whitfield – £650; Tom Gallagher – £395; Elena Marchetti – £340. We estimate our fees for the pre-action phase (review, advice and letter before action) at between £35,000 and £45,000 plus VAT and disbursements. We will provide a further estimate before any proceedings are issued. Counsel’s and the expert’s fees will be charged as disbursements.</w:t>
      </w:r>
    </w:p>
    <w:p>
      <w:pPr>
        <w:pStyle w:val="Heading2"/>
      </w:pPr>
      <w:r>
        <w:t xml:space="preserve">4. Funding and recovery</w:t>
      </w:r>
    </w:p>
    <w:p>
      <w:pPr>
        <w:spacing w:after="120"/>
      </w:pPr>
      <w:r>
        <w:t xml:space="preserve">Litigation costs are not fully recoverable even on a successful claim; the general rule is that a successful party recovers in the region of 60–70% of its assessed costs. We will keep you informed of the costs position at each stage and will not exceed any agreed estimate without your authority.</w:t>
      </w:r>
    </w:p>
    <w:p>
      <w:pPr>
        <w:pStyle w:val="Heading2"/>
      </w:pPr>
      <w:r>
        <w:t xml:space="preserve">5. Limitation</w:t>
      </w:r>
    </w:p>
    <w:p>
      <w:pPr>
        <w:spacing w:after="120"/>
      </w:pPr>
      <w:r>
        <w:t xml:space="preserve">We draw your attention to the importance of limitation periods. On the information presently available, the primary limitation period for the contractual claim expires no earlier than March 2030. Nothing in this engagement should be taken as advice that limitation is not a live issue, and we will keep it under review.</w:t>
      </w:r>
    </w:p>
    <w:p>
      <w:pPr>
        <w:spacing w:after="120"/>
      </w:pPr>
      <w:r>
        <w:t xml:space="preserve">Please countersign and return the enclosed copy of this letter to confirm your acceptance of these terms and of our standard terms of business (enclosed). We look forward to working with you.</w:t>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Dispute Resolution</w:t>
      </w:r>
    </w:p>
    <w:p>
      <w:pPr>
        <w:spacing w:after="120"/>
      </w:pPr>
      <w:r>
        <w:t xml:space="preserve">Whitfield Carter LLP</w:t>
      </w:r>
    </w:p>
    <w:p>
      <w:pPr>
        <w:spacing w:after="120"/>
      </w:pPr>
      <w:r>
        <w:t xml:space="preserve">For and on behalf of Pennington Industries Limited – agreed and accepted:</w:t>
      </w:r>
    </w:p>
    <w:p>
      <w:pPr>
        <w:spacing w:after="120"/>
      </w:pPr>
      <w:r>
        <w:t xml:space="preserve">Signed: ............................................   Name: Grace Underwood   Date: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pPr>
    <w:r>
      <w:rPr>
        <w:color w:val="666666"/>
        <w:sz w:val="14"/>
        <w:szCs w:val="14"/>
      </w:rPr>
      <w:t xml:space="preserve">Whitfield Carter LLP is a limited liability partnership registered in England and Wales. Confidential and may be legally privileged.</w:t>
    </w:r>
  </w:p>
  <w:p>
    <w:pPr>
      <w:tabs>
        <w:tab w:val="right" w:pos="9026"/>
      </w:tabs>
    </w:pPr>
    <w:r>
      <w:rPr>
        <w:sz w:val="16"/>
        <w:szCs w:val="16"/>
      </w:rPr>
      <w:t xml:space="preserve"/>
    </w:r>
    <w:r>
      <w:rPr>
        <w:sz w:val="16"/>
        <w:szCs w:val="16"/>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4"/>
      </w:pBdr>
      <w:spacing w:after="160"/>
    </w:pPr>
    <w:r>
      <w:rPr>
        <w:sz w:val="16"/>
        <w:szCs w:val="16"/>
      </w:rPr>
      <w:t xml:space="preserve">22 Bishopsgate, London EC2N 4BQ  ·  www.whitfieldcarter.com  ·  +44 (0)20 7946 0820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2026-06-28T10:20:14.921Z</dcterms:created>
  <dcterms:modified xsi:type="dcterms:W3CDTF">2026-06-28T10:20:14.921Z</dcterms:modified>
</cp:coreProperties>
</file>

<file path=docProps/custom.xml><?xml version="1.0" encoding="utf-8"?>
<Properties xmlns="http://schemas.openxmlformats.org/officeDocument/2006/custom-properties" xmlns:vt="http://schemas.openxmlformats.org/officeDocument/2006/docPropsVTypes"/>
</file>